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7B86">
      <w:pPr>
        <w:spacing w:line="480" w:lineRule="exact"/>
        <w:jc w:val="center"/>
        <w:rPr>
          <w:rFonts w:hint="eastAsia" w:ascii="方正小标宋_GBK" w:hAnsi="宋体" w:eastAsia="方正小标宋_GBK"/>
          <w:spacing w:val="-8"/>
          <w:sz w:val="32"/>
          <w:szCs w:val="32"/>
        </w:rPr>
      </w:pPr>
      <w:bookmarkStart w:id="0" w:name="_GoBack"/>
      <w:r>
        <w:rPr>
          <w:rFonts w:hint="eastAsia" w:ascii="方正小标宋_GBK" w:hAnsi="宋体" w:eastAsia="方正小标宋_GBK"/>
          <w:spacing w:val="-8"/>
          <w:sz w:val="32"/>
          <w:szCs w:val="32"/>
        </w:rPr>
        <w:t>2024年3季度南通市、区县两级商务主管部门备案单用途商业预付卡发卡企业预收资金存管情况汇总表</w:t>
      </w:r>
    </w:p>
    <w:bookmarkEnd w:id="0"/>
    <w:tbl>
      <w:tblPr>
        <w:tblStyle w:val="2"/>
        <w:tblW w:w="24000" w:type="dxa"/>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658"/>
        <w:gridCol w:w="2231"/>
        <w:gridCol w:w="1614"/>
        <w:gridCol w:w="1255"/>
        <w:gridCol w:w="1077"/>
        <w:gridCol w:w="1398"/>
        <w:gridCol w:w="1651"/>
        <w:gridCol w:w="1255"/>
        <w:gridCol w:w="1255"/>
        <w:gridCol w:w="4620"/>
        <w:gridCol w:w="1540"/>
        <w:gridCol w:w="1255"/>
        <w:gridCol w:w="1255"/>
      </w:tblGrid>
      <w:tr w14:paraId="612E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382" w:hRule="atLeast"/>
        </w:trPr>
        <w:tc>
          <w:tcPr>
            <w:tcW w:w="1936" w:type="dxa"/>
            <w:vMerge w:val="restart"/>
            <w:noWrap w:val="0"/>
            <w:vAlign w:val="center"/>
          </w:tcPr>
          <w:p w14:paraId="7F094047">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发卡企业名称</w:t>
            </w:r>
          </w:p>
        </w:tc>
        <w:tc>
          <w:tcPr>
            <w:tcW w:w="1658" w:type="dxa"/>
            <w:vMerge w:val="restart"/>
            <w:noWrap w:val="0"/>
            <w:vAlign w:val="center"/>
          </w:tcPr>
          <w:p w14:paraId="67816FC2">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备案号</w:t>
            </w:r>
          </w:p>
        </w:tc>
        <w:tc>
          <w:tcPr>
            <w:tcW w:w="2231" w:type="dxa"/>
            <w:vMerge w:val="restart"/>
            <w:noWrap w:val="0"/>
            <w:vAlign w:val="center"/>
          </w:tcPr>
          <w:p w14:paraId="19F832C0">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发卡类型及</w:t>
            </w:r>
          </w:p>
          <w:p w14:paraId="2B17077D">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规定存管比例</w:t>
            </w:r>
          </w:p>
        </w:tc>
        <w:tc>
          <w:tcPr>
            <w:tcW w:w="1614" w:type="dxa"/>
            <w:vMerge w:val="restart"/>
            <w:noWrap w:val="0"/>
            <w:vAlign w:val="center"/>
          </w:tcPr>
          <w:p w14:paraId="281E9795">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监管部门</w:t>
            </w:r>
          </w:p>
        </w:tc>
        <w:tc>
          <w:tcPr>
            <w:tcW w:w="1255" w:type="dxa"/>
            <w:noWrap w:val="0"/>
            <w:vAlign w:val="center"/>
          </w:tcPr>
          <w:p w14:paraId="11A0CA94">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存管方式</w:t>
            </w:r>
          </w:p>
        </w:tc>
        <w:tc>
          <w:tcPr>
            <w:tcW w:w="1077" w:type="dxa"/>
            <w:vMerge w:val="restart"/>
            <w:noWrap w:val="0"/>
            <w:vAlign w:val="center"/>
          </w:tcPr>
          <w:p w14:paraId="19AADF8B">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签约银行</w:t>
            </w:r>
          </w:p>
          <w:p w14:paraId="70C2FAA0">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（保险机构）</w:t>
            </w:r>
          </w:p>
        </w:tc>
        <w:tc>
          <w:tcPr>
            <w:tcW w:w="1398" w:type="dxa"/>
            <w:vMerge w:val="restart"/>
            <w:noWrap w:val="0"/>
            <w:vAlign w:val="center"/>
          </w:tcPr>
          <w:p w14:paraId="42C77633">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9月30日预收资金余额</w:t>
            </w:r>
          </w:p>
          <w:p w14:paraId="0484E152">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（万元）</w:t>
            </w:r>
          </w:p>
        </w:tc>
        <w:tc>
          <w:tcPr>
            <w:tcW w:w="1651" w:type="dxa"/>
            <w:vMerge w:val="restart"/>
            <w:noWrap w:val="0"/>
            <w:vAlign w:val="center"/>
          </w:tcPr>
          <w:p w14:paraId="00542253">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3季度末</w:t>
            </w:r>
          </w:p>
          <w:p w14:paraId="31F788B1">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存管资金</w:t>
            </w:r>
          </w:p>
          <w:p w14:paraId="2823137D">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（万元）</w:t>
            </w:r>
          </w:p>
        </w:tc>
        <w:tc>
          <w:tcPr>
            <w:tcW w:w="1255" w:type="dxa"/>
            <w:vMerge w:val="restart"/>
            <w:noWrap w:val="0"/>
            <w:vAlign w:val="center"/>
          </w:tcPr>
          <w:p w14:paraId="66FC81B7">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实存比例</w:t>
            </w:r>
          </w:p>
        </w:tc>
        <w:tc>
          <w:tcPr>
            <w:tcW w:w="1255" w:type="dxa"/>
            <w:vMerge w:val="restart"/>
            <w:noWrap w:val="0"/>
            <w:vAlign w:val="center"/>
          </w:tcPr>
          <w:p w14:paraId="4042C50F">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有关说明</w:t>
            </w:r>
          </w:p>
        </w:tc>
      </w:tr>
      <w:tr w14:paraId="7336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382" w:hRule="atLeast"/>
        </w:trPr>
        <w:tc>
          <w:tcPr>
            <w:tcW w:w="1936" w:type="dxa"/>
            <w:vMerge w:val="continue"/>
            <w:noWrap w:val="0"/>
            <w:vAlign w:val="center"/>
          </w:tcPr>
          <w:p w14:paraId="30CE827C">
            <w:pPr>
              <w:spacing w:line="260" w:lineRule="exact"/>
              <w:jc w:val="center"/>
              <w:rPr>
                <w:rFonts w:hint="eastAsia" w:ascii="方正黑体_GBK" w:hAnsi="方正黑体_GBK" w:eastAsia="方正黑体_GBK" w:cs="方正黑体_GBK"/>
              </w:rPr>
            </w:pPr>
          </w:p>
        </w:tc>
        <w:tc>
          <w:tcPr>
            <w:tcW w:w="1658" w:type="dxa"/>
            <w:vMerge w:val="continue"/>
            <w:noWrap w:val="0"/>
            <w:vAlign w:val="center"/>
          </w:tcPr>
          <w:p w14:paraId="01569833">
            <w:pPr>
              <w:spacing w:line="260" w:lineRule="exact"/>
              <w:jc w:val="center"/>
              <w:rPr>
                <w:rFonts w:hint="eastAsia" w:ascii="方正黑体_GBK" w:hAnsi="方正黑体_GBK" w:eastAsia="方正黑体_GBK" w:cs="方正黑体_GBK"/>
              </w:rPr>
            </w:pPr>
          </w:p>
        </w:tc>
        <w:tc>
          <w:tcPr>
            <w:tcW w:w="2231" w:type="dxa"/>
            <w:vMerge w:val="continue"/>
            <w:noWrap w:val="0"/>
            <w:vAlign w:val="center"/>
          </w:tcPr>
          <w:p w14:paraId="21A95010">
            <w:pPr>
              <w:spacing w:line="260" w:lineRule="exact"/>
              <w:jc w:val="center"/>
              <w:rPr>
                <w:rFonts w:hint="eastAsia" w:ascii="方正黑体_GBK" w:hAnsi="方正黑体_GBK" w:eastAsia="方正黑体_GBK" w:cs="方正黑体_GBK"/>
              </w:rPr>
            </w:pPr>
          </w:p>
        </w:tc>
        <w:tc>
          <w:tcPr>
            <w:tcW w:w="1614" w:type="dxa"/>
            <w:vMerge w:val="continue"/>
            <w:noWrap w:val="0"/>
            <w:vAlign w:val="center"/>
          </w:tcPr>
          <w:p w14:paraId="68F3136E">
            <w:pPr>
              <w:spacing w:line="260" w:lineRule="exact"/>
              <w:jc w:val="center"/>
              <w:rPr>
                <w:rFonts w:hint="eastAsia" w:ascii="方正黑体_GBK" w:hAnsi="方正黑体_GBK" w:eastAsia="方正黑体_GBK" w:cs="方正黑体_GBK"/>
                <w:sz w:val="24"/>
                <w:szCs w:val="24"/>
              </w:rPr>
            </w:pPr>
          </w:p>
        </w:tc>
        <w:tc>
          <w:tcPr>
            <w:tcW w:w="1255" w:type="dxa"/>
            <w:noWrap w:val="0"/>
            <w:vAlign w:val="center"/>
          </w:tcPr>
          <w:p w14:paraId="4727373A">
            <w:pPr>
              <w:spacing w:line="26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24"/>
                <w:szCs w:val="24"/>
              </w:rPr>
              <w:t>资金/保函</w:t>
            </w:r>
          </w:p>
        </w:tc>
        <w:tc>
          <w:tcPr>
            <w:tcW w:w="1077" w:type="dxa"/>
            <w:vMerge w:val="continue"/>
            <w:noWrap w:val="0"/>
            <w:vAlign w:val="center"/>
          </w:tcPr>
          <w:p w14:paraId="7528E2B2">
            <w:pPr>
              <w:spacing w:line="260" w:lineRule="exact"/>
              <w:jc w:val="center"/>
              <w:rPr>
                <w:rFonts w:hint="eastAsia" w:ascii="方正黑体_GBK" w:hAnsi="方正黑体_GBK" w:eastAsia="方正黑体_GBK" w:cs="方正黑体_GBK"/>
              </w:rPr>
            </w:pPr>
          </w:p>
        </w:tc>
        <w:tc>
          <w:tcPr>
            <w:tcW w:w="1398" w:type="dxa"/>
            <w:vMerge w:val="continue"/>
            <w:noWrap w:val="0"/>
            <w:vAlign w:val="center"/>
          </w:tcPr>
          <w:p w14:paraId="2DE2AD01">
            <w:pPr>
              <w:spacing w:line="260" w:lineRule="exact"/>
              <w:jc w:val="center"/>
              <w:rPr>
                <w:rFonts w:hint="eastAsia" w:ascii="方正黑体_GBK" w:hAnsi="方正黑体_GBK" w:eastAsia="方正黑体_GBK" w:cs="方正黑体_GBK"/>
                <w:sz w:val="24"/>
                <w:szCs w:val="24"/>
              </w:rPr>
            </w:pPr>
          </w:p>
        </w:tc>
        <w:tc>
          <w:tcPr>
            <w:tcW w:w="1651" w:type="dxa"/>
            <w:vMerge w:val="continue"/>
            <w:noWrap w:val="0"/>
            <w:vAlign w:val="center"/>
          </w:tcPr>
          <w:p w14:paraId="5A820D04">
            <w:pPr>
              <w:spacing w:line="260" w:lineRule="exact"/>
              <w:jc w:val="center"/>
              <w:rPr>
                <w:rFonts w:hint="eastAsia" w:ascii="方正黑体_GBK" w:hAnsi="方正黑体_GBK" w:eastAsia="方正黑体_GBK" w:cs="方正黑体_GBK"/>
                <w:sz w:val="24"/>
                <w:szCs w:val="24"/>
              </w:rPr>
            </w:pPr>
          </w:p>
        </w:tc>
        <w:tc>
          <w:tcPr>
            <w:tcW w:w="1255" w:type="dxa"/>
            <w:vMerge w:val="continue"/>
            <w:noWrap w:val="0"/>
            <w:vAlign w:val="center"/>
          </w:tcPr>
          <w:p w14:paraId="1F60C08D">
            <w:pPr>
              <w:spacing w:line="260" w:lineRule="exact"/>
              <w:jc w:val="center"/>
              <w:rPr>
                <w:rFonts w:hint="eastAsia"/>
              </w:rPr>
            </w:pPr>
          </w:p>
        </w:tc>
        <w:tc>
          <w:tcPr>
            <w:tcW w:w="1255" w:type="dxa"/>
            <w:vMerge w:val="continue"/>
            <w:noWrap w:val="0"/>
            <w:vAlign w:val="center"/>
          </w:tcPr>
          <w:p w14:paraId="178E0AF2">
            <w:pPr>
              <w:spacing w:line="260" w:lineRule="exact"/>
              <w:jc w:val="center"/>
              <w:rPr>
                <w:rFonts w:hint="eastAsia"/>
              </w:rPr>
            </w:pPr>
          </w:p>
        </w:tc>
      </w:tr>
      <w:tr w14:paraId="4E8D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AF76A20">
            <w:pPr>
              <w:spacing w:line="260" w:lineRule="exact"/>
              <w:jc w:val="center"/>
              <w:rPr>
                <w:rFonts w:hint="eastAsia"/>
                <w:szCs w:val="21"/>
              </w:rPr>
            </w:pPr>
            <w:r>
              <w:rPr>
                <w:rFonts w:hint="eastAsia"/>
                <w:szCs w:val="21"/>
              </w:rPr>
              <w:t>江苏品德超市</w:t>
            </w:r>
          </w:p>
          <w:p w14:paraId="3D0D54A9">
            <w:pPr>
              <w:spacing w:line="260" w:lineRule="exact"/>
              <w:jc w:val="center"/>
              <w:rPr>
                <w:szCs w:val="21"/>
              </w:rPr>
            </w:pPr>
            <w:r>
              <w:rPr>
                <w:rFonts w:hint="eastAsia"/>
                <w:szCs w:val="21"/>
              </w:rPr>
              <w:t>连锁有限公司</w:t>
            </w:r>
          </w:p>
        </w:tc>
        <w:tc>
          <w:tcPr>
            <w:tcW w:w="1658" w:type="dxa"/>
            <w:noWrap w:val="0"/>
            <w:vAlign w:val="center"/>
          </w:tcPr>
          <w:p w14:paraId="10EFF218">
            <w:pPr>
              <w:spacing w:line="260" w:lineRule="exact"/>
              <w:jc w:val="center"/>
            </w:pPr>
            <w:r>
              <w:rPr>
                <w:rFonts w:hint="eastAsia"/>
              </w:rPr>
              <w:t>320682DAA0001</w:t>
            </w:r>
          </w:p>
        </w:tc>
        <w:tc>
          <w:tcPr>
            <w:tcW w:w="2231" w:type="dxa"/>
            <w:noWrap w:val="0"/>
            <w:vAlign w:val="center"/>
          </w:tcPr>
          <w:p w14:paraId="4C472973">
            <w:pPr>
              <w:spacing w:line="260" w:lineRule="exact"/>
              <w:jc w:val="center"/>
            </w:pPr>
            <w:r>
              <w:rPr>
                <w:rFonts w:hint="eastAsia"/>
              </w:rPr>
              <w:t>其他发卡企业、40%</w:t>
            </w:r>
          </w:p>
        </w:tc>
        <w:tc>
          <w:tcPr>
            <w:tcW w:w="1614" w:type="dxa"/>
            <w:noWrap w:val="0"/>
            <w:vAlign w:val="center"/>
          </w:tcPr>
          <w:p w14:paraId="73125266">
            <w:pPr>
              <w:spacing w:line="260" w:lineRule="exact"/>
              <w:jc w:val="center"/>
              <w:rPr>
                <w:rFonts w:hint="eastAsia"/>
              </w:rPr>
            </w:pPr>
            <w:r>
              <w:rPr>
                <w:rFonts w:hint="eastAsia"/>
              </w:rPr>
              <w:t>如皋市商务局</w:t>
            </w:r>
          </w:p>
        </w:tc>
        <w:tc>
          <w:tcPr>
            <w:tcW w:w="1255" w:type="dxa"/>
            <w:noWrap w:val="0"/>
            <w:vAlign w:val="center"/>
          </w:tcPr>
          <w:p w14:paraId="3CBFBF4F">
            <w:pPr>
              <w:spacing w:line="260" w:lineRule="exact"/>
              <w:jc w:val="center"/>
            </w:pPr>
            <w:r>
              <w:rPr>
                <w:rFonts w:hint="eastAsia"/>
              </w:rPr>
              <w:t>资金</w:t>
            </w:r>
          </w:p>
        </w:tc>
        <w:tc>
          <w:tcPr>
            <w:tcW w:w="1077" w:type="dxa"/>
            <w:noWrap w:val="0"/>
            <w:vAlign w:val="center"/>
          </w:tcPr>
          <w:p w14:paraId="5629B41C">
            <w:pPr>
              <w:spacing w:line="260" w:lineRule="exact"/>
              <w:jc w:val="center"/>
              <w:rPr>
                <w:rFonts w:hint="eastAsia"/>
              </w:rPr>
            </w:pPr>
            <w:r>
              <w:rPr>
                <w:rFonts w:hint="eastAsia"/>
              </w:rPr>
              <w:t>建行</w:t>
            </w:r>
          </w:p>
        </w:tc>
        <w:tc>
          <w:tcPr>
            <w:tcW w:w="1398" w:type="dxa"/>
            <w:noWrap w:val="0"/>
            <w:vAlign w:val="center"/>
          </w:tcPr>
          <w:p w14:paraId="5074FA2C">
            <w:pPr>
              <w:jc w:val="center"/>
              <w:rPr>
                <w:rFonts w:ascii="宋体" w:hAnsi="宋体"/>
                <w:sz w:val="24"/>
                <w:szCs w:val="24"/>
              </w:rPr>
            </w:pPr>
            <w:r>
              <w:rPr>
                <w:rFonts w:hint="eastAsia" w:ascii="宋体" w:hAnsi="宋体"/>
                <w:sz w:val="24"/>
                <w:szCs w:val="24"/>
              </w:rPr>
              <w:t>8.0</w:t>
            </w:r>
          </w:p>
        </w:tc>
        <w:tc>
          <w:tcPr>
            <w:tcW w:w="1651" w:type="dxa"/>
            <w:noWrap w:val="0"/>
            <w:vAlign w:val="center"/>
          </w:tcPr>
          <w:p w14:paraId="452D062C">
            <w:pPr>
              <w:jc w:val="center"/>
              <w:rPr>
                <w:rFonts w:ascii="宋体" w:hAnsi="宋体"/>
                <w:sz w:val="24"/>
                <w:szCs w:val="24"/>
              </w:rPr>
            </w:pPr>
            <w:r>
              <w:rPr>
                <w:rFonts w:hint="eastAsia" w:ascii="宋体" w:hAnsi="宋体"/>
                <w:sz w:val="24"/>
                <w:szCs w:val="24"/>
              </w:rPr>
              <w:t>12.0</w:t>
            </w:r>
          </w:p>
        </w:tc>
        <w:tc>
          <w:tcPr>
            <w:tcW w:w="1255" w:type="dxa"/>
            <w:noWrap w:val="0"/>
            <w:vAlign w:val="center"/>
          </w:tcPr>
          <w:p w14:paraId="78F9D3D9">
            <w:pPr>
              <w:jc w:val="center"/>
              <w:rPr>
                <w:rFonts w:ascii="宋体" w:hAnsi="宋体"/>
                <w:sz w:val="24"/>
                <w:szCs w:val="24"/>
              </w:rPr>
            </w:pPr>
            <w:r>
              <w:rPr>
                <w:rFonts w:hint="eastAsia" w:ascii="宋体" w:hAnsi="宋体"/>
                <w:sz w:val="24"/>
                <w:szCs w:val="24"/>
              </w:rPr>
              <w:t>100%</w:t>
            </w:r>
          </w:p>
        </w:tc>
        <w:tc>
          <w:tcPr>
            <w:tcW w:w="1255" w:type="dxa"/>
            <w:noWrap w:val="0"/>
            <w:vAlign w:val="center"/>
          </w:tcPr>
          <w:p w14:paraId="74F9BA84">
            <w:pPr>
              <w:jc w:val="center"/>
              <w:rPr>
                <w:rFonts w:ascii="宋体" w:hAnsi="宋体"/>
                <w:sz w:val="24"/>
                <w:szCs w:val="24"/>
              </w:rPr>
            </w:pPr>
          </w:p>
        </w:tc>
      </w:tr>
      <w:tr w14:paraId="4004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4A64876">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如皋市家家乐超市加盟管理有限公司</w:t>
            </w:r>
          </w:p>
        </w:tc>
        <w:tc>
          <w:tcPr>
            <w:tcW w:w="1658" w:type="dxa"/>
            <w:noWrap w:val="0"/>
            <w:vAlign w:val="center"/>
          </w:tcPr>
          <w:p w14:paraId="28F8A6F9">
            <w:pPr>
              <w:spacing w:line="260" w:lineRule="exact"/>
              <w:jc w:val="center"/>
              <w:rPr>
                <w:rFonts w:hint="eastAsia"/>
              </w:rPr>
            </w:pPr>
            <w:r>
              <w:rPr>
                <w:rFonts w:hint="eastAsia"/>
              </w:rPr>
              <w:t>320682DAA0022</w:t>
            </w:r>
          </w:p>
        </w:tc>
        <w:tc>
          <w:tcPr>
            <w:tcW w:w="2231" w:type="dxa"/>
            <w:noWrap w:val="0"/>
            <w:vAlign w:val="center"/>
          </w:tcPr>
          <w:p w14:paraId="0AC11E8A">
            <w:pPr>
              <w:spacing w:line="260" w:lineRule="exact"/>
              <w:jc w:val="center"/>
              <w:rPr>
                <w:rFonts w:hint="eastAsia"/>
              </w:rPr>
            </w:pPr>
            <w:r>
              <w:rPr>
                <w:rFonts w:hint="eastAsia"/>
              </w:rPr>
              <w:t>其他发卡企业、40%</w:t>
            </w:r>
          </w:p>
        </w:tc>
        <w:tc>
          <w:tcPr>
            <w:tcW w:w="1614" w:type="dxa"/>
            <w:noWrap w:val="0"/>
            <w:vAlign w:val="center"/>
          </w:tcPr>
          <w:p w14:paraId="01F6C1B6">
            <w:pPr>
              <w:spacing w:line="260" w:lineRule="exact"/>
              <w:jc w:val="center"/>
              <w:rPr>
                <w:rFonts w:hint="eastAsia"/>
              </w:rPr>
            </w:pPr>
            <w:r>
              <w:rPr>
                <w:rFonts w:hint="eastAsia"/>
              </w:rPr>
              <w:t>如皋市商务局</w:t>
            </w:r>
          </w:p>
        </w:tc>
        <w:tc>
          <w:tcPr>
            <w:tcW w:w="1255" w:type="dxa"/>
            <w:noWrap w:val="0"/>
            <w:vAlign w:val="center"/>
          </w:tcPr>
          <w:p w14:paraId="3A9021E0">
            <w:pPr>
              <w:spacing w:line="260" w:lineRule="exact"/>
              <w:jc w:val="center"/>
              <w:rPr>
                <w:rFonts w:hint="eastAsia"/>
              </w:rPr>
            </w:pPr>
            <w:r>
              <w:rPr>
                <w:rFonts w:hint="eastAsia"/>
              </w:rPr>
              <w:t>资金</w:t>
            </w:r>
          </w:p>
        </w:tc>
        <w:tc>
          <w:tcPr>
            <w:tcW w:w="1077" w:type="dxa"/>
            <w:noWrap w:val="0"/>
            <w:vAlign w:val="center"/>
          </w:tcPr>
          <w:p w14:paraId="75200DD0">
            <w:pPr>
              <w:spacing w:line="260" w:lineRule="exact"/>
              <w:jc w:val="center"/>
              <w:rPr>
                <w:rFonts w:hint="eastAsia"/>
              </w:rPr>
            </w:pPr>
            <w:r>
              <w:rPr>
                <w:rFonts w:hint="eastAsia"/>
              </w:rPr>
              <w:t>建行</w:t>
            </w:r>
          </w:p>
        </w:tc>
        <w:tc>
          <w:tcPr>
            <w:tcW w:w="1398" w:type="dxa"/>
            <w:noWrap w:val="0"/>
            <w:vAlign w:val="center"/>
          </w:tcPr>
          <w:p w14:paraId="1E6384B3">
            <w:pPr>
              <w:jc w:val="center"/>
              <w:rPr>
                <w:rFonts w:ascii="宋体" w:hAnsi="宋体"/>
                <w:sz w:val="24"/>
                <w:szCs w:val="24"/>
              </w:rPr>
            </w:pPr>
            <w:r>
              <w:rPr>
                <w:rFonts w:hint="eastAsia" w:ascii="宋体" w:hAnsi="宋体"/>
                <w:sz w:val="24"/>
                <w:szCs w:val="24"/>
              </w:rPr>
              <w:t>1.45</w:t>
            </w:r>
          </w:p>
        </w:tc>
        <w:tc>
          <w:tcPr>
            <w:tcW w:w="1651" w:type="dxa"/>
            <w:noWrap w:val="0"/>
            <w:vAlign w:val="center"/>
          </w:tcPr>
          <w:p w14:paraId="7A2B4E31">
            <w:pPr>
              <w:jc w:val="center"/>
              <w:rPr>
                <w:rFonts w:ascii="宋体" w:hAnsi="宋体"/>
                <w:sz w:val="24"/>
                <w:szCs w:val="24"/>
              </w:rPr>
            </w:pPr>
            <w:r>
              <w:rPr>
                <w:rFonts w:hint="eastAsia" w:ascii="宋体" w:hAnsi="宋体"/>
                <w:sz w:val="24"/>
                <w:szCs w:val="24"/>
              </w:rPr>
              <w:t>10.0</w:t>
            </w:r>
          </w:p>
        </w:tc>
        <w:tc>
          <w:tcPr>
            <w:tcW w:w="1255" w:type="dxa"/>
            <w:noWrap w:val="0"/>
            <w:vAlign w:val="center"/>
          </w:tcPr>
          <w:p w14:paraId="19C59C42">
            <w:pPr>
              <w:jc w:val="center"/>
              <w:rPr>
                <w:rFonts w:ascii="宋体" w:hAnsi="宋体"/>
                <w:sz w:val="24"/>
                <w:szCs w:val="24"/>
              </w:rPr>
            </w:pPr>
            <w:r>
              <w:rPr>
                <w:rFonts w:hint="eastAsia" w:ascii="宋体" w:hAnsi="宋体"/>
                <w:sz w:val="24"/>
                <w:szCs w:val="24"/>
              </w:rPr>
              <w:t>100%</w:t>
            </w:r>
          </w:p>
        </w:tc>
        <w:tc>
          <w:tcPr>
            <w:tcW w:w="1255" w:type="dxa"/>
            <w:noWrap w:val="0"/>
            <w:vAlign w:val="center"/>
          </w:tcPr>
          <w:p w14:paraId="4C039ED3">
            <w:pPr>
              <w:jc w:val="center"/>
              <w:rPr>
                <w:rFonts w:ascii="宋体" w:hAnsi="宋体"/>
                <w:sz w:val="24"/>
                <w:szCs w:val="24"/>
              </w:rPr>
            </w:pPr>
          </w:p>
        </w:tc>
      </w:tr>
      <w:tr w14:paraId="17B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8EE09DB">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南通星联万家</w:t>
            </w:r>
          </w:p>
          <w:p w14:paraId="56F78D0E">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超市有限公司</w:t>
            </w:r>
          </w:p>
        </w:tc>
        <w:tc>
          <w:tcPr>
            <w:tcW w:w="1658" w:type="dxa"/>
            <w:noWrap w:val="0"/>
            <w:vAlign w:val="center"/>
          </w:tcPr>
          <w:p w14:paraId="696FA10C">
            <w:pPr>
              <w:spacing w:line="260" w:lineRule="exact"/>
              <w:jc w:val="center"/>
              <w:rPr>
                <w:rFonts w:hint="eastAsia"/>
              </w:rPr>
            </w:pPr>
            <w:r>
              <w:rPr>
                <w:rFonts w:hint="eastAsia"/>
              </w:rPr>
              <w:t>320682DAA0021</w:t>
            </w:r>
          </w:p>
        </w:tc>
        <w:tc>
          <w:tcPr>
            <w:tcW w:w="2231" w:type="dxa"/>
            <w:noWrap w:val="0"/>
            <w:vAlign w:val="center"/>
          </w:tcPr>
          <w:p w14:paraId="660BFA68">
            <w:pPr>
              <w:spacing w:line="260" w:lineRule="exact"/>
              <w:jc w:val="center"/>
              <w:rPr>
                <w:rFonts w:hint="eastAsia"/>
              </w:rPr>
            </w:pPr>
            <w:r>
              <w:rPr>
                <w:rFonts w:hint="eastAsia"/>
              </w:rPr>
              <w:t>其他发卡企业、40%</w:t>
            </w:r>
          </w:p>
        </w:tc>
        <w:tc>
          <w:tcPr>
            <w:tcW w:w="1614" w:type="dxa"/>
            <w:noWrap w:val="0"/>
            <w:vAlign w:val="center"/>
          </w:tcPr>
          <w:p w14:paraId="1C61A558">
            <w:pPr>
              <w:spacing w:line="260" w:lineRule="exact"/>
              <w:jc w:val="center"/>
              <w:rPr>
                <w:rFonts w:hint="eastAsia"/>
              </w:rPr>
            </w:pPr>
            <w:r>
              <w:rPr>
                <w:rFonts w:hint="eastAsia"/>
              </w:rPr>
              <w:t>如皋市商务局</w:t>
            </w:r>
          </w:p>
        </w:tc>
        <w:tc>
          <w:tcPr>
            <w:tcW w:w="1255" w:type="dxa"/>
            <w:noWrap w:val="0"/>
            <w:vAlign w:val="center"/>
          </w:tcPr>
          <w:p w14:paraId="354CB5B6">
            <w:pPr>
              <w:spacing w:line="260" w:lineRule="exact"/>
              <w:jc w:val="center"/>
            </w:pPr>
            <w:r>
              <w:rPr>
                <w:rFonts w:hint="eastAsia"/>
              </w:rPr>
              <w:t>资金</w:t>
            </w:r>
          </w:p>
        </w:tc>
        <w:tc>
          <w:tcPr>
            <w:tcW w:w="1077" w:type="dxa"/>
            <w:noWrap w:val="0"/>
            <w:vAlign w:val="center"/>
          </w:tcPr>
          <w:p w14:paraId="05C98FCB">
            <w:pPr>
              <w:spacing w:line="260" w:lineRule="exact"/>
              <w:jc w:val="center"/>
              <w:rPr>
                <w:rFonts w:hint="eastAsia"/>
              </w:rPr>
            </w:pPr>
            <w:r>
              <w:rPr>
                <w:rFonts w:hint="eastAsia"/>
              </w:rPr>
              <w:t>建行</w:t>
            </w:r>
          </w:p>
        </w:tc>
        <w:tc>
          <w:tcPr>
            <w:tcW w:w="1398" w:type="dxa"/>
            <w:noWrap w:val="0"/>
            <w:vAlign w:val="center"/>
          </w:tcPr>
          <w:p w14:paraId="47054F2F">
            <w:pPr>
              <w:jc w:val="center"/>
              <w:rPr>
                <w:rFonts w:ascii="宋体" w:hAnsi="宋体"/>
                <w:sz w:val="24"/>
                <w:szCs w:val="24"/>
              </w:rPr>
            </w:pPr>
            <w:r>
              <w:rPr>
                <w:rFonts w:hint="eastAsia" w:ascii="宋体" w:hAnsi="宋体"/>
                <w:sz w:val="24"/>
                <w:szCs w:val="24"/>
              </w:rPr>
              <w:t>3.6</w:t>
            </w:r>
          </w:p>
        </w:tc>
        <w:tc>
          <w:tcPr>
            <w:tcW w:w="1651" w:type="dxa"/>
            <w:noWrap w:val="0"/>
            <w:vAlign w:val="center"/>
          </w:tcPr>
          <w:p w14:paraId="271EEF73">
            <w:pPr>
              <w:jc w:val="center"/>
              <w:rPr>
                <w:rFonts w:ascii="宋体" w:hAnsi="宋体"/>
                <w:sz w:val="24"/>
                <w:szCs w:val="24"/>
              </w:rPr>
            </w:pPr>
            <w:r>
              <w:rPr>
                <w:rFonts w:hint="eastAsia" w:ascii="宋体" w:hAnsi="宋体"/>
                <w:sz w:val="24"/>
                <w:szCs w:val="24"/>
              </w:rPr>
              <w:t>2.0</w:t>
            </w:r>
          </w:p>
        </w:tc>
        <w:tc>
          <w:tcPr>
            <w:tcW w:w="1255" w:type="dxa"/>
            <w:noWrap w:val="0"/>
            <w:vAlign w:val="center"/>
          </w:tcPr>
          <w:p w14:paraId="0106C47B">
            <w:pPr>
              <w:jc w:val="center"/>
              <w:rPr>
                <w:rFonts w:ascii="宋体" w:hAnsi="宋体"/>
                <w:sz w:val="24"/>
                <w:szCs w:val="24"/>
              </w:rPr>
            </w:pPr>
            <w:r>
              <w:rPr>
                <w:rFonts w:hint="eastAsia" w:ascii="宋体" w:hAnsi="宋体"/>
                <w:sz w:val="24"/>
                <w:szCs w:val="24"/>
              </w:rPr>
              <w:t>55.6%</w:t>
            </w:r>
          </w:p>
        </w:tc>
        <w:tc>
          <w:tcPr>
            <w:tcW w:w="1255" w:type="dxa"/>
            <w:noWrap w:val="0"/>
            <w:vAlign w:val="center"/>
          </w:tcPr>
          <w:p w14:paraId="31C1342F">
            <w:pPr>
              <w:jc w:val="center"/>
              <w:rPr>
                <w:rFonts w:ascii="宋体" w:hAnsi="宋体"/>
                <w:sz w:val="24"/>
                <w:szCs w:val="24"/>
              </w:rPr>
            </w:pPr>
          </w:p>
        </w:tc>
      </w:tr>
      <w:tr w14:paraId="7E1A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F30D52C">
            <w:pPr>
              <w:spacing w:line="260" w:lineRule="exact"/>
              <w:jc w:val="center"/>
              <w:rPr>
                <w:spacing w:val="-10"/>
                <w:szCs w:val="21"/>
              </w:rPr>
            </w:pPr>
            <w:r>
              <w:rPr>
                <w:rFonts w:hint="eastAsia"/>
                <w:spacing w:val="-10"/>
                <w:szCs w:val="21"/>
              </w:rPr>
              <w:t>南通北渔人和水产有限公司（仙缘海鲜）</w:t>
            </w:r>
          </w:p>
        </w:tc>
        <w:tc>
          <w:tcPr>
            <w:tcW w:w="1658" w:type="dxa"/>
            <w:noWrap w:val="0"/>
            <w:vAlign w:val="center"/>
          </w:tcPr>
          <w:p w14:paraId="0E313BDC">
            <w:pPr>
              <w:spacing w:line="260" w:lineRule="exact"/>
              <w:jc w:val="center"/>
            </w:pPr>
            <w:r>
              <w:rPr>
                <w:rFonts w:hint="eastAsia"/>
              </w:rPr>
              <w:t>320623DAA0001</w:t>
            </w:r>
          </w:p>
        </w:tc>
        <w:tc>
          <w:tcPr>
            <w:tcW w:w="2231" w:type="dxa"/>
            <w:noWrap w:val="0"/>
            <w:vAlign w:val="center"/>
          </w:tcPr>
          <w:p w14:paraId="5001F396">
            <w:pPr>
              <w:spacing w:line="260" w:lineRule="exact"/>
              <w:jc w:val="center"/>
            </w:pPr>
            <w:r>
              <w:rPr>
                <w:rFonts w:hint="eastAsia"/>
              </w:rPr>
              <w:t>其他发卡企业、40%</w:t>
            </w:r>
          </w:p>
        </w:tc>
        <w:tc>
          <w:tcPr>
            <w:tcW w:w="1614" w:type="dxa"/>
            <w:noWrap w:val="0"/>
            <w:vAlign w:val="center"/>
          </w:tcPr>
          <w:p w14:paraId="079F5408">
            <w:pPr>
              <w:spacing w:line="260" w:lineRule="exact"/>
              <w:jc w:val="center"/>
              <w:rPr>
                <w:rFonts w:hint="eastAsia"/>
              </w:rPr>
            </w:pPr>
            <w:r>
              <w:rPr>
                <w:rFonts w:hint="eastAsia"/>
              </w:rPr>
              <w:t>如东县商务局</w:t>
            </w:r>
          </w:p>
        </w:tc>
        <w:tc>
          <w:tcPr>
            <w:tcW w:w="1255" w:type="dxa"/>
            <w:noWrap w:val="0"/>
            <w:vAlign w:val="center"/>
          </w:tcPr>
          <w:p w14:paraId="38CCAABB">
            <w:pPr>
              <w:spacing w:line="260" w:lineRule="exact"/>
              <w:jc w:val="center"/>
            </w:pPr>
            <w:r>
              <w:rPr>
                <w:rFonts w:hint="eastAsia"/>
              </w:rPr>
              <w:t>资金</w:t>
            </w:r>
          </w:p>
        </w:tc>
        <w:tc>
          <w:tcPr>
            <w:tcW w:w="1077" w:type="dxa"/>
            <w:noWrap w:val="0"/>
            <w:vAlign w:val="center"/>
          </w:tcPr>
          <w:p w14:paraId="0B6DA1CB">
            <w:pPr>
              <w:spacing w:line="260" w:lineRule="exact"/>
              <w:jc w:val="center"/>
              <w:rPr>
                <w:rFonts w:hint="eastAsia"/>
              </w:rPr>
            </w:pPr>
            <w:r>
              <w:rPr>
                <w:rFonts w:hint="eastAsia"/>
              </w:rPr>
              <w:t>中行</w:t>
            </w:r>
          </w:p>
        </w:tc>
        <w:tc>
          <w:tcPr>
            <w:tcW w:w="1398" w:type="dxa"/>
            <w:noWrap w:val="0"/>
            <w:vAlign w:val="center"/>
          </w:tcPr>
          <w:p w14:paraId="051E778A">
            <w:pPr>
              <w:jc w:val="center"/>
              <w:rPr>
                <w:rFonts w:ascii="宋体" w:hAnsi="宋体"/>
                <w:sz w:val="24"/>
                <w:szCs w:val="24"/>
              </w:rPr>
            </w:pPr>
            <w:r>
              <w:rPr>
                <w:rFonts w:hint="eastAsia" w:ascii="宋体" w:hAnsi="宋体"/>
                <w:sz w:val="24"/>
                <w:szCs w:val="24"/>
              </w:rPr>
              <w:t>3.4</w:t>
            </w:r>
          </w:p>
        </w:tc>
        <w:tc>
          <w:tcPr>
            <w:tcW w:w="1651" w:type="dxa"/>
            <w:noWrap w:val="0"/>
            <w:vAlign w:val="center"/>
          </w:tcPr>
          <w:p w14:paraId="1244F285">
            <w:pPr>
              <w:jc w:val="center"/>
              <w:rPr>
                <w:rFonts w:ascii="宋体" w:hAnsi="宋体"/>
                <w:sz w:val="24"/>
                <w:szCs w:val="24"/>
              </w:rPr>
            </w:pPr>
            <w:r>
              <w:rPr>
                <w:rFonts w:hint="eastAsia" w:ascii="宋体" w:hAnsi="宋体"/>
                <w:sz w:val="24"/>
                <w:szCs w:val="24"/>
              </w:rPr>
              <w:t>3.6</w:t>
            </w:r>
          </w:p>
        </w:tc>
        <w:tc>
          <w:tcPr>
            <w:tcW w:w="1255" w:type="dxa"/>
            <w:noWrap w:val="0"/>
            <w:vAlign w:val="center"/>
          </w:tcPr>
          <w:p w14:paraId="70B1F3B5">
            <w:pPr>
              <w:jc w:val="center"/>
              <w:rPr>
                <w:rFonts w:ascii="宋体" w:hAnsi="宋体"/>
                <w:sz w:val="24"/>
                <w:szCs w:val="24"/>
              </w:rPr>
            </w:pPr>
            <w:r>
              <w:rPr>
                <w:rFonts w:hint="eastAsia" w:ascii="宋体" w:hAnsi="宋体"/>
                <w:sz w:val="24"/>
                <w:szCs w:val="24"/>
              </w:rPr>
              <w:t>100%</w:t>
            </w:r>
          </w:p>
        </w:tc>
        <w:tc>
          <w:tcPr>
            <w:tcW w:w="1255" w:type="dxa"/>
            <w:noWrap w:val="0"/>
            <w:vAlign w:val="center"/>
          </w:tcPr>
          <w:p w14:paraId="55CC6FF8">
            <w:pPr>
              <w:jc w:val="center"/>
              <w:rPr>
                <w:rFonts w:ascii="宋体" w:hAnsi="宋体"/>
                <w:sz w:val="24"/>
                <w:szCs w:val="24"/>
              </w:rPr>
            </w:pPr>
          </w:p>
        </w:tc>
      </w:tr>
      <w:tr w14:paraId="79E1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7CDE9639">
            <w:pPr>
              <w:spacing w:line="260" w:lineRule="exact"/>
              <w:jc w:val="center"/>
              <w:rPr>
                <w:rFonts w:hint="eastAsia"/>
                <w:szCs w:val="21"/>
              </w:rPr>
            </w:pPr>
            <w:r>
              <w:rPr>
                <w:szCs w:val="21"/>
              </w:rPr>
              <w:t>如东县日用杂品</w:t>
            </w:r>
          </w:p>
          <w:p w14:paraId="621ADF85">
            <w:pPr>
              <w:spacing w:line="260" w:lineRule="exact"/>
              <w:jc w:val="center"/>
              <w:rPr>
                <w:rFonts w:hint="eastAsia"/>
                <w:szCs w:val="21"/>
              </w:rPr>
            </w:pPr>
            <w:r>
              <w:rPr>
                <w:szCs w:val="21"/>
              </w:rPr>
              <w:t>有限责任公司</w:t>
            </w:r>
          </w:p>
        </w:tc>
        <w:tc>
          <w:tcPr>
            <w:tcW w:w="1658" w:type="dxa"/>
            <w:noWrap w:val="0"/>
            <w:vAlign w:val="center"/>
          </w:tcPr>
          <w:p w14:paraId="4B947848">
            <w:pPr>
              <w:spacing w:line="260" w:lineRule="exact"/>
              <w:jc w:val="center"/>
              <w:rPr>
                <w:rFonts w:hint="eastAsia"/>
              </w:rPr>
            </w:pPr>
            <w:r>
              <w:t>320623DAA0002</w:t>
            </w:r>
          </w:p>
        </w:tc>
        <w:tc>
          <w:tcPr>
            <w:tcW w:w="2231" w:type="dxa"/>
            <w:noWrap w:val="0"/>
            <w:vAlign w:val="center"/>
          </w:tcPr>
          <w:p w14:paraId="49DD4D16">
            <w:pPr>
              <w:spacing w:line="260" w:lineRule="exact"/>
              <w:jc w:val="center"/>
              <w:rPr>
                <w:rFonts w:hint="eastAsia"/>
              </w:rPr>
            </w:pPr>
            <w:r>
              <w:rPr>
                <w:rFonts w:hint="eastAsia"/>
              </w:rPr>
              <w:t>其他发卡企业、40%</w:t>
            </w:r>
          </w:p>
        </w:tc>
        <w:tc>
          <w:tcPr>
            <w:tcW w:w="1614" w:type="dxa"/>
            <w:noWrap w:val="0"/>
            <w:vAlign w:val="center"/>
          </w:tcPr>
          <w:p w14:paraId="6358261A">
            <w:pPr>
              <w:spacing w:line="260" w:lineRule="exact"/>
              <w:jc w:val="center"/>
              <w:rPr>
                <w:rFonts w:hint="eastAsia"/>
              </w:rPr>
            </w:pPr>
            <w:r>
              <w:rPr>
                <w:rFonts w:hint="eastAsia"/>
              </w:rPr>
              <w:t>如东县商务局</w:t>
            </w:r>
          </w:p>
        </w:tc>
        <w:tc>
          <w:tcPr>
            <w:tcW w:w="1255" w:type="dxa"/>
            <w:noWrap w:val="0"/>
            <w:vAlign w:val="center"/>
          </w:tcPr>
          <w:p w14:paraId="77F4B970">
            <w:pPr>
              <w:spacing w:line="260" w:lineRule="exact"/>
              <w:jc w:val="center"/>
              <w:rPr>
                <w:rFonts w:hint="eastAsia"/>
              </w:rPr>
            </w:pPr>
            <w:r>
              <w:rPr>
                <w:rFonts w:hint="eastAsia"/>
              </w:rPr>
              <w:t>资金</w:t>
            </w:r>
          </w:p>
        </w:tc>
        <w:tc>
          <w:tcPr>
            <w:tcW w:w="1077" w:type="dxa"/>
            <w:noWrap w:val="0"/>
            <w:vAlign w:val="center"/>
          </w:tcPr>
          <w:p w14:paraId="06A84A20">
            <w:pPr>
              <w:spacing w:line="260" w:lineRule="exact"/>
              <w:jc w:val="center"/>
              <w:rPr>
                <w:rFonts w:hint="eastAsia"/>
              </w:rPr>
            </w:pPr>
            <w:r>
              <w:rPr>
                <w:rFonts w:hint="eastAsia"/>
              </w:rPr>
              <w:t>工行</w:t>
            </w:r>
          </w:p>
        </w:tc>
        <w:tc>
          <w:tcPr>
            <w:tcW w:w="1398" w:type="dxa"/>
            <w:noWrap w:val="0"/>
            <w:vAlign w:val="center"/>
          </w:tcPr>
          <w:p w14:paraId="45687C70">
            <w:pPr>
              <w:jc w:val="center"/>
              <w:rPr>
                <w:rFonts w:ascii="宋体" w:hAnsi="宋体"/>
                <w:sz w:val="24"/>
                <w:szCs w:val="24"/>
              </w:rPr>
            </w:pPr>
            <w:r>
              <w:rPr>
                <w:rFonts w:hint="eastAsia" w:ascii="宋体" w:hAnsi="宋体"/>
                <w:sz w:val="24"/>
                <w:szCs w:val="24"/>
              </w:rPr>
              <w:t>60.1</w:t>
            </w:r>
          </w:p>
        </w:tc>
        <w:tc>
          <w:tcPr>
            <w:tcW w:w="1651" w:type="dxa"/>
            <w:noWrap w:val="0"/>
            <w:vAlign w:val="center"/>
          </w:tcPr>
          <w:p w14:paraId="37299EB1">
            <w:pPr>
              <w:jc w:val="center"/>
              <w:rPr>
                <w:rFonts w:ascii="宋体" w:hAnsi="宋体"/>
                <w:sz w:val="24"/>
                <w:szCs w:val="24"/>
              </w:rPr>
            </w:pPr>
            <w:r>
              <w:rPr>
                <w:rFonts w:hint="eastAsia" w:ascii="宋体" w:hAnsi="宋体"/>
                <w:sz w:val="24"/>
                <w:szCs w:val="24"/>
              </w:rPr>
              <w:t>30.0</w:t>
            </w:r>
          </w:p>
        </w:tc>
        <w:tc>
          <w:tcPr>
            <w:tcW w:w="1255" w:type="dxa"/>
            <w:noWrap w:val="0"/>
            <w:vAlign w:val="center"/>
          </w:tcPr>
          <w:p w14:paraId="79EE32F7">
            <w:pPr>
              <w:jc w:val="center"/>
              <w:rPr>
                <w:rFonts w:ascii="宋体" w:hAnsi="宋体"/>
                <w:sz w:val="24"/>
                <w:szCs w:val="24"/>
              </w:rPr>
            </w:pPr>
            <w:r>
              <w:rPr>
                <w:rFonts w:hint="eastAsia" w:ascii="宋体" w:hAnsi="宋体"/>
                <w:sz w:val="24"/>
                <w:szCs w:val="24"/>
              </w:rPr>
              <w:t>49.9%</w:t>
            </w:r>
          </w:p>
        </w:tc>
        <w:tc>
          <w:tcPr>
            <w:tcW w:w="1255" w:type="dxa"/>
            <w:noWrap w:val="0"/>
            <w:vAlign w:val="center"/>
          </w:tcPr>
          <w:p w14:paraId="4CCE17D0">
            <w:pPr>
              <w:jc w:val="center"/>
              <w:rPr>
                <w:rFonts w:ascii="宋体" w:hAnsi="宋体"/>
                <w:sz w:val="24"/>
                <w:szCs w:val="24"/>
              </w:rPr>
            </w:pPr>
          </w:p>
        </w:tc>
      </w:tr>
      <w:tr w14:paraId="0671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AB275B6">
            <w:pPr>
              <w:spacing w:line="260" w:lineRule="exact"/>
              <w:jc w:val="center"/>
              <w:rPr>
                <w:rFonts w:hint="eastAsia"/>
                <w:spacing w:val="-10"/>
                <w:szCs w:val="21"/>
              </w:rPr>
            </w:pPr>
            <w:r>
              <w:rPr>
                <w:rFonts w:hint="eastAsia" w:ascii="宋体" w:hAnsi="宋体" w:cs="宋体"/>
                <w:color w:val="000000"/>
                <w:kern w:val="0"/>
                <w:szCs w:val="21"/>
              </w:rPr>
              <w:t>南通龙信商业管理有限公司</w:t>
            </w:r>
          </w:p>
        </w:tc>
        <w:tc>
          <w:tcPr>
            <w:tcW w:w="1658" w:type="dxa"/>
            <w:noWrap w:val="0"/>
            <w:vAlign w:val="center"/>
          </w:tcPr>
          <w:p w14:paraId="7C31D587">
            <w:pPr>
              <w:spacing w:line="260" w:lineRule="exact"/>
              <w:jc w:val="center"/>
              <w:rPr>
                <w:rFonts w:hint="eastAsia"/>
              </w:rPr>
            </w:pPr>
            <w:r>
              <w:rPr>
                <w:rFonts w:ascii="宋体" w:hAnsi="宋体" w:cs="宋体"/>
                <w:color w:val="000000"/>
                <w:kern w:val="0"/>
                <w:szCs w:val="21"/>
              </w:rPr>
              <w:t>320684DDI0021</w:t>
            </w:r>
          </w:p>
        </w:tc>
        <w:tc>
          <w:tcPr>
            <w:tcW w:w="2231" w:type="dxa"/>
            <w:noWrap w:val="0"/>
            <w:vAlign w:val="center"/>
          </w:tcPr>
          <w:p w14:paraId="38A70EF6">
            <w:pPr>
              <w:spacing w:line="260" w:lineRule="exact"/>
              <w:jc w:val="center"/>
            </w:pPr>
            <w:r>
              <w:rPr>
                <w:rFonts w:hint="eastAsia"/>
              </w:rPr>
              <w:t>其他发卡企业、40%</w:t>
            </w:r>
          </w:p>
        </w:tc>
        <w:tc>
          <w:tcPr>
            <w:tcW w:w="1614" w:type="dxa"/>
            <w:noWrap w:val="0"/>
            <w:vAlign w:val="center"/>
          </w:tcPr>
          <w:p w14:paraId="083D2A49">
            <w:pPr>
              <w:spacing w:line="260" w:lineRule="exact"/>
              <w:jc w:val="center"/>
              <w:rPr>
                <w:rFonts w:hint="eastAsia"/>
              </w:rPr>
            </w:pPr>
            <w:r>
              <w:rPr>
                <w:rFonts w:hint="eastAsia"/>
              </w:rPr>
              <w:t>海门市商务局</w:t>
            </w:r>
          </w:p>
        </w:tc>
        <w:tc>
          <w:tcPr>
            <w:tcW w:w="1255" w:type="dxa"/>
            <w:noWrap w:val="0"/>
            <w:vAlign w:val="center"/>
          </w:tcPr>
          <w:p w14:paraId="0B69E0D1">
            <w:pPr>
              <w:spacing w:line="260" w:lineRule="exact"/>
              <w:jc w:val="center"/>
            </w:pPr>
            <w:r>
              <w:rPr>
                <w:rFonts w:hint="eastAsia"/>
              </w:rPr>
              <w:t>资金</w:t>
            </w:r>
          </w:p>
        </w:tc>
        <w:tc>
          <w:tcPr>
            <w:tcW w:w="1077" w:type="dxa"/>
            <w:noWrap w:val="0"/>
            <w:vAlign w:val="center"/>
          </w:tcPr>
          <w:p w14:paraId="42ED16E9">
            <w:pPr>
              <w:spacing w:line="260" w:lineRule="exact"/>
              <w:jc w:val="center"/>
              <w:rPr>
                <w:rFonts w:hint="eastAsia"/>
              </w:rPr>
            </w:pPr>
            <w:r>
              <w:rPr>
                <w:rFonts w:hint="eastAsia"/>
              </w:rPr>
              <w:t>交通</w:t>
            </w:r>
          </w:p>
        </w:tc>
        <w:tc>
          <w:tcPr>
            <w:tcW w:w="1398" w:type="dxa"/>
            <w:noWrap w:val="0"/>
            <w:vAlign w:val="center"/>
          </w:tcPr>
          <w:p w14:paraId="01127FCC">
            <w:pPr>
              <w:jc w:val="center"/>
              <w:rPr>
                <w:rFonts w:ascii="宋体" w:hAnsi="宋体"/>
                <w:sz w:val="24"/>
                <w:szCs w:val="24"/>
              </w:rPr>
            </w:pPr>
            <w:r>
              <w:rPr>
                <w:rFonts w:hint="eastAsia" w:ascii="宋体" w:hAnsi="宋体"/>
                <w:sz w:val="24"/>
                <w:szCs w:val="24"/>
              </w:rPr>
              <w:t>287.1</w:t>
            </w:r>
          </w:p>
        </w:tc>
        <w:tc>
          <w:tcPr>
            <w:tcW w:w="1651" w:type="dxa"/>
            <w:noWrap w:val="0"/>
            <w:vAlign w:val="center"/>
          </w:tcPr>
          <w:p w14:paraId="69A856BC">
            <w:pPr>
              <w:jc w:val="center"/>
              <w:rPr>
                <w:rFonts w:ascii="宋体" w:hAnsi="宋体"/>
                <w:sz w:val="24"/>
                <w:szCs w:val="24"/>
              </w:rPr>
            </w:pPr>
            <w:r>
              <w:rPr>
                <w:rFonts w:hint="eastAsia" w:ascii="宋体" w:hAnsi="宋体"/>
                <w:sz w:val="24"/>
                <w:szCs w:val="24"/>
              </w:rPr>
              <w:t>117.8</w:t>
            </w:r>
          </w:p>
        </w:tc>
        <w:tc>
          <w:tcPr>
            <w:tcW w:w="1255" w:type="dxa"/>
            <w:noWrap w:val="0"/>
            <w:vAlign w:val="center"/>
          </w:tcPr>
          <w:p w14:paraId="6D0940DF">
            <w:pPr>
              <w:jc w:val="center"/>
              <w:rPr>
                <w:rFonts w:ascii="宋体" w:hAnsi="宋体"/>
                <w:sz w:val="24"/>
                <w:szCs w:val="24"/>
              </w:rPr>
            </w:pPr>
            <w:r>
              <w:rPr>
                <w:rFonts w:hint="eastAsia" w:ascii="宋体" w:hAnsi="宋体"/>
                <w:sz w:val="24"/>
                <w:szCs w:val="24"/>
              </w:rPr>
              <w:t>41.0%</w:t>
            </w:r>
          </w:p>
        </w:tc>
        <w:tc>
          <w:tcPr>
            <w:tcW w:w="1255" w:type="dxa"/>
            <w:noWrap w:val="0"/>
            <w:vAlign w:val="center"/>
          </w:tcPr>
          <w:p w14:paraId="792C1BA8">
            <w:pPr>
              <w:jc w:val="center"/>
              <w:rPr>
                <w:rFonts w:ascii="宋体" w:hAnsi="宋体"/>
                <w:sz w:val="24"/>
                <w:szCs w:val="24"/>
              </w:rPr>
            </w:pPr>
          </w:p>
        </w:tc>
      </w:tr>
      <w:tr w14:paraId="62B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09A5665">
            <w:pPr>
              <w:spacing w:line="260" w:lineRule="exact"/>
              <w:jc w:val="center"/>
              <w:rPr>
                <w:rFonts w:hint="eastAsia"/>
                <w:szCs w:val="21"/>
              </w:rPr>
            </w:pPr>
            <w:r>
              <w:rPr>
                <w:rFonts w:hint="eastAsia"/>
                <w:szCs w:val="21"/>
              </w:rPr>
              <w:t>海门苏合农产品</w:t>
            </w:r>
          </w:p>
          <w:p w14:paraId="2C266AAD">
            <w:pPr>
              <w:spacing w:line="260" w:lineRule="exact"/>
              <w:jc w:val="center"/>
              <w:rPr>
                <w:szCs w:val="21"/>
              </w:rPr>
            </w:pPr>
            <w:r>
              <w:rPr>
                <w:rFonts w:hint="eastAsia"/>
                <w:szCs w:val="21"/>
              </w:rPr>
              <w:t>销售专业合作联社</w:t>
            </w:r>
          </w:p>
        </w:tc>
        <w:tc>
          <w:tcPr>
            <w:tcW w:w="1658" w:type="dxa"/>
            <w:noWrap w:val="0"/>
            <w:vAlign w:val="center"/>
          </w:tcPr>
          <w:p w14:paraId="259D3116">
            <w:pPr>
              <w:spacing w:line="260" w:lineRule="exact"/>
              <w:jc w:val="center"/>
            </w:pPr>
            <w:r>
              <w:rPr>
                <w:rFonts w:hint="eastAsia"/>
              </w:rPr>
              <w:t>320684DAA0021</w:t>
            </w:r>
          </w:p>
        </w:tc>
        <w:tc>
          <w:tcPr>
            <w:tcW w:w="2231" w:type="dxa"/>
            <w:noWrap w:val="0"/>
            <w:vAlign w:val="center"/>
          </w:tcPr>
          <w:p w14:paraId="0259306A">
            <w:pPr>
              <w:spacing w:line="260" w:lineRule="exact"/>
              <w:jc w:val="center"/>
              <w:rPr>
                <w:rFonts w:hint="eastAsia"/>
              </w:rPr>
            </w:pPr>
            <w:r>
              <w:rPr>
                <w:rFonts w:hint="eastAsia"/>
              </w:rPr>
              <w:t>其他发卡企业、40%</w:t>
            </w:r>
          </w:p>
        </w:tc>
        <w:tc>
          <w:tcPr>
            <w:tcW w:w="1614" w:type="dxa"/>
            <w:noWrap w:val="0"/>
            <w:vAlign w:val="center"/>
          </w:tcPr>
          <w:p w14:paraId="371E7C1A">
            <w:pPr>
              <w:spacing w:line="260" w:lineRule="exact"/>
              <w:jc w:val="center"/>
              <w:rPr>
                <w:rFonts w:hint="eastAsia"/>
              </w:rPr>
            </w:pPr>
            <w:r>
              <w:rPr>
                <w:rFonts w:hint="eastAsia"/>
              </w:rPr>
              <w:t>海门市商务局</w:t>
            </w:r>
          </w:p>
        </w:tc>
        <w:tc>
          <w:tcPr>
            <w:tcW w:w="1255" w:type="dxa"/>
            <w:noWrap w:val="0"/>
            <w:vAlign w:val="center"/>
          </w:tcPr>
          <w:p w14:paraId="66A25E86">
            <w:pPr>
              <w:spacing w:line="260" w:lineRule="exact"/>
              <w:jc w:val="center"/>
              <w:rPr>
                <w:rFonts w:hint="eastAsia"/>
              </w:rPr>
            </w:pPr>
            <w:r>
              <w:rPr>
                <w:rFonts w:hint="eastAsia"/>
              </w:rPr>
              <w:t>资金</w:t>
            </w:r>
          </w:p>
        </w:tc>
        <w:tc>
          <w:tcPr>
            <w:tcW w:w="1077" w:type="dxa"/>
            <w:noWrap w:val="0"/>
            <w:vAlign w:val="center"/>
          </w:tcPr>
          <w:p w14:paraId="2E63AD45">
            <w:pPr>
              <w:spacing w:line="260" w:lineRule="exact"/>
              <w:jc w:val="center"/>
              <w:rPr>
                <w:rFonts w:hint="eastAsia"/>
              </w:rPr>
            </w:pPr>
            <w:r>
              <w:rPr>
                <w:rFonts w:hint="eastAsia"/>
              </w:rPr>
              <w:t>建行</w:t>
            </w:r>
          </w:p>
        </w:tc>
        <w:tc>
          <w:tcPr>
            <w:tcW w:w="1398" w:type="dxa"/>
            <w:noWrap w:val="0"/>
            <w:vAlign w:val="center"/>
          </w:tcPr>
          <w:p w14:paraId="4A919B1B">
            <w:pPr>
              <w:jc w:val="center"/>
              <w:rPr>
                <w:rFonts w:ascii="宋体" w:hAnsi="宋体"/>
                <w:sz w:val="24"/>
                <w:szCs w:val="24"/>
              </w:rPr>
            </w:pPr>
            <w:r>
              <w:rPr>
                <w:rFonts w:hint="eastAsia" w:ascii="宋体" w:hAnsi="宋体"/>
                <w:sz w:val="24"/>
                <w:szCs w:val="24"/>
              </w:rPr>
              <w:t>1.9</w:t>
            </w:r>
          </w:p>
        </w:tc>
        <w:tc>
          <w:tcPr>
            <w:tcW w:w="1651" w:type="dxa"/>
            <w:noWrap w:val="0"/>
            <w:vAlign w:val="center"/>
          </w:tcPr>
          <w:p w14:paraId="07F8498F">
            <w:pPr>
              <w:jc w:val="center"/>
              <w:rPr>
                <w:rFonts w:ascii="宋体" w:hAnsi="宋体"/>
                <w:sz w:val="24"/>
                <w:szCs w:val="24"/>
              </w:rPr>
            </w:pPr>
            <w:r>
              <w:rPr>
                <w:rFonts w:hint="eastAsia" w:ascii="宋体" w:hAnsi="宋体"/>
                <w:sz w:val="24"/>
                <w:szCs w:val="24"/>
              </w:rPr>
              <w:t>4.2</w:t>
            </w:r>
          </w:p>
        </w:tc>
        <w:tc>
          <w:tcPr>
            <w:tcW w:w="1255" w:type="dxa"/>
            <w:noWrap w:val="0"/>
            <w:vAlign w:val="center"/>
          </w:tcPr>
          <w:p w14:paraId="789C0762">
            <w:pPr>
              <w:jc w:val="center"/>
              <w:rPr>
                <w:rFonts w:ascii="宋体" w:hAnsi="宋体"/>
                <w:sz w:val="24"/>
                <w:szCs w:val="24"/>
              </w:rPr>
            </w:pPr>
            <w:r>
              <w:rPr>
                <w:rFonts w:hint="eastAsia" w:ascii="宋体" w:hAnsi="宋体"/>
                <w:sz w:val="24"/>
                <w:szCs w:val="24"/>
              </w:rPr>
              <w:t>100%</w:t>
            </w:r>
          </w:p>
        </w:tc>
        <w:tc>
          <w:tcPr>
            <w:tcW w:w="1255" w:type="dxa"/>
            <w:noWrap w:val="0"/>
            <w:vAlign w:val="center"/>
          </w:tcPr>
          <w:p w14:paraId="2A486A32">
            <w:pPr>
              <w:jc w:val="center"/>
              <w:rPr>
                <w:rFonts w:ascii="宋体" w:hAnsi="宋体"/>
                <w:sz w:val="24"/>
                <w:szCs w:val="24"/>
              </w:rPr>
            </w:pPr>
          </w:p>
        </w:tc>
      </w:tr>
      <w:tr w14:paraId="148D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16423B1C">
            <w:pPr>
              <w:spacing w:line="260" w:lineRule="exact"/>
              <w:jc w:val="center"/>
              <w:rPr>
                <w:rFonts w:hint="eastAsia"/>
                <w:szCs w:val="21"/>
              </w:rPr>
            </w:pPr>
            <w:r>
              <w:rPr>
                <w:rFonts w:hint="eastAsia"/>
                <w:szCs w:val="21"/>
              </w:rPr>
              <w:t>亲家公海鲜</w:t>
            </w:r>
          </w:p>
          <w:p w14:paraId="170AC50A">
            <w:pPr>
              <w:spacing w:line="260" w:lineRule="exact"/>
              <w:jc w:val="center"/>
              <w:rPr>
                <w:szCs w:val="21"/>
              </w:rPr>
            </w:pPr>
            <w:r>
              <w:rPr>
                <w:rFonts w:hint="eastAsia"/>
                <w:szCs w:val="21"/>
              </w:rPr>
              <w:t>礼品有限公司</w:t>
            </w:r>
          </w:p>
        </w:tc>
        <w:tc>
          <w:tcPr>
            <w:tcW w:w="1658" w:type="dxa"/>
            <w:noWrap w:val="0"/>
            <w:vAlign w:val="center"/>
          </w:tcPr>
          <w:p w14:paraId="6C1998A5">
            <w:pPr>
              <w:spacing w:line="260" w:lineRule="exact"/>
              <w:jc w:val="center"/>
            </w:pPr>
            <w:r>
              <w:rPr>
                <w:rFonts w:hint="eastAsia"/>
              </w:rPr>
              <w:t>320681DBE0021</w:t>
            </w:r>
          </w:p>
        </w:tc>
        <w:tc>
          <w:tcPr>
            <w:tcW w:w="2231" w:type="dxa"/>
            <w:noWrap w:val="0"/>
            <w:vAlign w:val="center"/>
          </w:tcPr>
          <w:p w14:paraId="65F427B7">
            <w:pPr>
              <w:spacing w:line="260" w:lineRule="exact"/>
              <w:jc w:val="center"/>
              <w:rPr>
                <w:rFonts w:hint="eastAsia"/>
              </w:rPr>
            </w:pPr>
            <w:r>
              <w:rPr>
                <w:rFonts w:hint="eastAsia"/>
              </w:rPr>
              <w:t>其他发卡企业、40%</w:t>
            </w:r>
          </w:p>
        </w:tc>
        <w:tc>
          <w:tcPr>
            <w:tcW w:w="1614" w:type="dxa"/>
            <w:noWrap w:val="0"/>
            <w:vAlign w:val="center"/>
          </w:tcPr>
          <w:p w14:paraId="148D8AC1">
            <w:pPr>
              <w:spacing w:line="260" w:lineRule="exact"/>
              <w:jc w:val="center"/>
              <w:rPr>
                <w:rFonts w:hint="eastAsia"/>
              </w:rPr>
            </w:pPr>
            <w:r>
              <w:rPr>
                <w:rFonts w:hint="eastAsia"/>
              </w:rPr>
              <w:t>启东市商务局</w:t>
            </w:r>
          </w:p>
        </w:tc>
        <w:tc>
          <w:tcPr>
            <w:tcW w:w="1255" w:type="dxa"/>
            <w:noWrap w:val="0"/>
            <w:vAlign w:val="center"/>
          </w:tcPr>
          <w:p w14:paraId="6B75FAF5">
            <w:pPr>
              <w:spacing w:line="260" w:lineRule="exact"/>
              <w:jc w:val="center"/>
              <w:rPr>
                <w:rFonts w:hint="eastAsia"/>
              </w:rPr>
            </w:pPr>
            <w:r>
              <w:rPr>
                <w:rFonts w:hint="eastAsia"/>
              </w:rPr>
              <w:t>资金</w:t>
            </w:r>
          </w:p>
        </w:tc>
        <w:tc>
          <w:tcPr>
            <w:tcW w:w="1077" w:type="dxa"/>
            <w:noWrap w:val="0"/>
            <w:vAlign w:val="center"/>
          </w:tcPr>
          <w:p w14:paraId="13690D66">
            <w:pPr>
              <w:spacing w:line="260" w:lineRule="exact"/>
              <w:jc w:val="center"/>
              <w:rPr>
                <w:rFonts w:hint="eastAsia"/>
              </w:rPr>
            </w:pPr>
            <w:r>
              <w:rPr>
                <w:rFonts w:hint="eastAsia"/>
              </w:rPr>
              <w:t>工行</w:t>
            </w:r>
          </w:p>
        </w:tc>
        <w:tc>
          <w:tcPr>
            <w:tcW w:w="1398" w:type="dxa"/>
            <w:noWrap w:val="0"/>
            <w:vAlign w:val="center"/>
          </w:tcPr>
          <w:p w14:paraId="67344A62">
            <w:pPr>
              <w:jc w:val="center"/>
              <w:rPr>
                <w:rFonts w:ascii="宋体" w:hAnsi="宋体"/>
                <w:sz w:val="24"/>
                <w:szCs w:val="24"/>
              </w:rPr>
            </w:pPr>
            <w:r>
              <w:rPr>
                <w:rFonts w:hint="eastAsia" w:ascii="宋体" w:hAnsi="宋体"/>
                <w:sz w:val="24"/>
                <w:szCs w:val="24"/>
              </w:rPr>
              <w:t>0.6</w:t>
            </w:r>
          </w:p>
        </w:tc>
        <w:tc>
          <w:tcPr>
            <w:tcW w:w="1651" w:type="dxa"/>
            <w:noWrap w:val="0"/>
            <w:vAlign w:val="center"/>
          </w:tcPr>
          <w:p w14:paraId="46712A2C">
            <w:pPr>
              <w:jc w:val="center"/>
              <w:rPr>
                <w:rFonts w:ascii="宋体" w:hAnsi="宋体"/>
                <w:sz w:val="24"/>
                <w:szCs w:val="24"/>
              </w:rPr>
            </w:pPr>
            <w:r>
              <w:rPr>
                <w:rFonts w:hint="eastAsia" w:ascii="宋体" w:hAnsi="宋体"/>
                <w:sz w:val="24"/>
                <w:szCs w:val="24"/>
              </w:rPr>
              <w:t>0.6</w:t>
            </w:r>
          </w:p>
        </w:tc>
        <w:tc>
          <w:tcPr>
            <w:tcW w:w="1255" w:type="dxa"/>
            <w:noWrap w:val="0"/>
            <w:vAlign w:val="center"/>
          </w:tcPr>
          <w:p w14:paraId="3C10DD46">
            <w:pPr>
              <w:jc w:val="center"/>
              <w:rPr>
                <w:rFonts w:ascii="宋体" w:hAnsi="宋体"/>
                <w:sz w:val="24"/>
                <w:szCs w:val="24"/>
              </w:rPr>
            </w:pPr>
            <w:r>
              <w:rPr>
                <w:rFonts w:hint="eastAsia" w:ascii="宋体" w:hAnsi="宋体"/>
                <w:sz w:val="24"/>
                <w:szCs w:val="24"/>
              </w:rPr>
              <w:t>100%</w:t>
            </w:r>
          </w:p>
        </w:tc>
        <w:tc>
          <w:tcPr>
            <w:tcW w:w="1255" w:type="dxa"/>
            <w:noWrap w:val="0"/>
            <w:vAlign w:val="center"/>
          </w:tcPr>
          <w:p w14:paraId="1A8EA877">
            <w:pPr>
              <w:jc w:val="center"/>
              <w:rPr>
                <w:rFonts w:ascii="宋体" w:hAnsi="宋体"/>
                <w:sz w:val="24"/>
                <w:szCs w:val="24"/>
              </w:rPr>
            </w:pPr>
          </w:p>
        </w:tc>
      </w:tr>
      <w:tr w14:paraId="3F13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F941034">
            <w:pPr>
              <w:spacing w:line="260" w:lineRule="exact"/>
              <w:jc w:val="center"/>
              <w:rPr>
                <w:rFonts w:hint="eastAsia"/>
                <w:szCs w:val="21"/>
              </w:rPr>
            </w:pPr>
            <w:r>
              <w:rPr>
                <w:rFonts w:hint="eastAsia"/>
                <w:szCs w:val="21"/>
              </w:rPr>
              <w:t>南通好便当净菜</w:t>
            </w:r>
          </w:p>
          <w:p w14:paraId="721A2EA7">
            <w:pPr>
              <w:spacing w:line="260" w:lineRule="exact"/>
              <w:jc w:val="center"/>
              <w:rPr>
                <w:rFonts w:hint="eastAsia"/>
                <w:szCs w:val="21"/>
              </w:rPr>
            </w:pPr>
            <w:r>
              <w:rPr>
                <w:rFonts w:hint="eastAsia"/>
                <w:szCs w:val="21"/>
              </w:rPr>
              <w:t>食品有限公司</w:t>
            </w:r>
          </w:p>
        </w:tc>
        <w:tc>
          <w:tcPr>
            <w:tcW w:w="1658" w:type="dxa"/>
            <w:noWrap w:val="0"/>
            <w:vAlign w:val="center"/>
          </w:tcPr>
          <w:p w14:paraId="34D3E763">
            <w:pPr>
              <w:spacing w:line="260" w:lineRule="exact"/>
              <w:jc w:val="center"/>
              <w:rPr>
                <w:rFonts w:hint="eastAsia"/>
              </w:rPr>
            </w:pPr>
            <w:r>
              <w:rPr>
                <w:rFonts w:hint="eastAsia"/>
              </w:rPr>
              <w:t>320612DBE0001</w:t>
            </w:r>
          </w:p>
        </w:tc>
        <w:tc>
          <w:tcPr>
            <w:tcW w:w="2231" w:type="dxa"/>
            <w:noWrap w:val="0"/>
            <w:vAlign w:val="center"/>
          </w:tcPr>
          <w:p w14:paraId="52DFF1A0">
            <w:pPr>
              <w:spacing w:line="260" w:lineRule="exact"/>
              <w:jc w:val="center"/>
            </w:pPr>
            <w:r>
              <w:rPr>
                <w:rFonts w:hint="eastAsia"/>
              </w:rPr>
              <w:t>其他发卡企业、40%</w:t>
            </w:r>
          </w:p>
        </w:tc>
        <w:tc>
          <w:tcPr>
            <w:tcW w:w="1614" w:type="dxa"/>
            <w:noWrap w:val="0"/>
            <w:vAlign w:val="center"/>
          </w:tcPr>
          <w:p w14:paraId="664465EB">
            <w:pPr>
              <w:spacing w:line="260" w:lineRule="exact"/>
              <w:jc w:val="center"/>
              <w:rPr>
                <w:rFonts w:hint="eastAsia"/>
              </w:rPr>
            </w:pPr>
            <w:r>
              <w:rPr>
                <w:rFonts w:hint="eastAsia"/>
              </w:rPr>
              <w:t>通州区商务局</w:t>
            </w:r>
          </w:p>
        </w:tc>
        <w:tc>
          <w:tcPr>
            <w:tcW w:w="1255" w:type="dxa"/>
            <w:noWrap w:val="0"/>
            <w:vAlign w:val="center"/>
          </w:tcPr>
          <w:p w14:paraId="026114F6">
            <w:pPr>
              <w:spacing w:line="260" w:lineRule="exact"/>
              <w:jc w:val="center"/>
            </w:pPr>
            <w:r>
              <w:rPr>
                <w:rFonts w:hint="eastAsia"/>
              </w:rPr>
              <w:t>资金</w:t>
            </w:r>
          </w:p>
        </w:tc>
        <w:tc>
          <w:tcPr>
            <w:tcW w:w="1077" w:type="dxa"/>
            <w:noWrap w:val="0"/>
            <w:vAlign w:val="center"/>
          </w:tcPr>
          <w:p w14:paraId="7E0E9C0A">
            <w:pPr>
              <w:spacing w:line="260" w:lineRule="exact"/>
              <w:jc w:val="center"/>
              <w:rPr>
                <w:rFonts w:hint="eastAsia"/>
              </w:rPr>
            </w:pPr>
            <w:r>
              <w:rPr>
                <w:rFonts w:hint="eastAsia"/>
              </w:rPr>
              <w:t>邮储</w:t>
            </w:r>
          </w:p>
        </w:tc>
        <w:tc>
          <w:tcPr>
            <w:tcW w:w="1398" w:type="dxa"/>
            <w:noWrap w:val="0"/>
            <w:vAlign w:val="center"/>
          </w:tcPr>
          <w:p w14:paraId="4B17DB72">
            <w:pPr>
              <w:jc w:val="center"/>
              <w:rPr>
                <w:rFonts w:ascii="宋体" w:hAnsi="宋体"/>
                <w:sz w:val="24"/>
                <w:szCs w:val="24"/>
              </w:rPr>
            </w:pPr>
            <w:r>
              <w:rPr>
                <w:rFonts w:hint="eastAsia" w:ascii="宋体" w:hAnsi="宋体"/>
                <w:sz w:val="24"/>
                <w:szCs w:val="24"/>
              </w:rPr>
              <w:t>6.3</w:t>
            </w:r>
          </w:p>
        </w:tc>
        <w:tc>
          <w:tcPr>
            <w:tcW w:w="1651" w:type="dxa"/>
            <w:noWrap w:val="0"/>
            <w:vAlign w:val="center"/>
          </w:tcPr>
          <w:p w14:paraId="23FCFDF3">
            <w:pPr>
              <w:jc w:val="center"/>
              <w:rPr>
                <w:rFonts w:ascii="宋体" w:hAnsi="宋体"/>
                <w:sz w:val="24"/>
                <w:szCs w:val="24"/>
              </w:rPr>
            </w:pPr>
            <w:r>
              <w:rPr>
                <w:rFonts w:hint="eastAsia" w:ascii="宋体" w:hAnsi="宋体"/>
                <w:sz w:val="24"/>
                <w:szCs w:val="24"/>
              </w:rPr>
              <w:t>2.7</w:t>
            </w:r>
          </w:p>
        </w:tc>
        <w:tc>
          <w:tcPr>
            <w:tcW w:w="1255" w:type="dxa"/>
            <w:noWrap w:val="0"/>
            <w:vAlign w:val="center"/>
          </w:tcPr>
          <w:p w14:paraId="19355FBC">
            <w:pPr>
              <w:jc w:val="center"/>
              <w:rPr>
                <w:rFonts w:ascii="宋体" w:hAnsi="宋体"/>
                <w:sz w:val="24"/>
                <w:szCs w:val="24"/>
              </w:rPr>
            </w:pPr>
            <w:r>
              <w:rPr>
                <w:rFonts w:hint="eastAsia" w:ascii="宋体" w:hAnsi="宋体"/>
                <w:sz w:val="24"/>
                <w:szCs w:val="24"/>
              </w:rPr>
              <w:t>42.9%</w:t>
            </w:r>
          </w:p>
        </w:tc>
        <w:tc>
          <w:tcPr>
            <w:tcW w:w="1255" w:type="dxa"/>
            <w:noWrap w:val="0"/>
            <w:vAlign w:val="center"/>
          </w:tcPr>
          <w:p w14:paraId="43A9DB8D">
            <w:pPr>
              <w:jc w:val="center"/>
              <w:rPr>
                <w:rFonts w:ascii="宋体" w:hAnsi="宋体"/>
                <w:sz w:val="24"/>
                <w:szCs w:val="24"/>
              </w:rPr>
            </w:pPr>
          </w:p>
        </w:tc>
      </w:tr>
      <w:tr w14:paraId="583A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5FC4D884">
            <w:pPr>
              <w:spacing w:line="260" w:lineRule="exact"/>
              <w:jc w:val="center"/>
              <w:rPr>
                <w:rFonts w:hint="eastAsia"/>
                <w:szCs w:val="21"/>
              </w:rPr>
            </w:pPr>
            <w:r>
              <w:rPr>
                <w:rFonts w:hint="eastAsia"/>
                <w:szCs w:val="21"/>
              </w:rPr>
              <w:t>南通欧佩拉</w:t>
            </w:r>
          </w:p>
          <w:p w14:paraId="0C620665">
            <w:pPr>
              <w:spacing w:line="260" w:lineRule="exact"/>
              <w:jc w:val="center"/>
              <w:rPr>
                <w:szCs w:val="21"/>
              </w:rPr>
            </w:pPr>
            <w:r>
              <w:rPr>
                <w:rFonts w:hint="eastAsia"/>
                <w:szCs w:val="21"/>
              </w:rPr>
              <w:t>食品有限公司</w:t>
            </w:r>
          </w:p>
        </w:tc>
        <w:tc>
          <w:tcPr>
            <w:tcW w:w="1658" w:type="dxa"/>
            <w:noWrap w:val="0"/>
            <w:vAlign w:val="center"/>
          </w:tcPr>
          <w:p w14:paraId="0D7F971A">
            <w:pPr>
              <w:spacing w:line="260" w:lineRule="exact"/>
              <w:jc w:val="center"/>
            </w:pPr>
            <w:r>
              <w:rPr>
                <w:rFonts w:hint="eastAsia"/>
              </w:rPr>
              <w:t>302611DAB0021</w:t>
            </w:r>
          </w:p>
        </w:tc>
        <w:tc>
          <w:tcPr>
            <w:tcW w:w="2231" w:type="dxa"/>
            <w:noWrap w:val="0"/>
            <w:vAlign w:val="center"/>
          </w:tcPr>
          <w:p w14:paraId="77DF3EDB">
            <w:pPr>
              <w:spacing w:line="260" w:lineRule="exact"/>
              <w:jc w:val="center"/>
              <w:rPr>
                <w:rFonts w:hint="eastAsia"/>
              </w:rPr>
            </w:pPr>
            <w:r>
              <w:rPr>
                <w:rFonts w:hint="eastAsia"/>
              </w:rPr>
              <w:t>其他发卡企业、40%</w:t>
            </w:r>
          </w:p>
        </w:tc>
        <w:tc>
          <w:tcPr>
            <w:tcW w:w="1614" w:type="dxa"/>
            <w:noWrap w:val="0"/>
            <w:vAlign w:val="center"/>
          </w:tcPr>
          <w:p w14:paraId="4D41D4A9">
            <w:pPr>
              <w:spacing w:line="260" w:lineRule="exact"/>
              <w:jc w:val="center"/>
              <w:rPr>
                <w:rFonts w:hint="eastAsia"/>
              </w:rPr>
            </w:pPr>
            <w:r>
              <w:rPr>
                <w:rFonts w:hint="eastAsia"/>
              </w:rPr>
              <w:t>崇川区商务局</w:t>
            </w:r>
          </w:p>
        </w:tc>
        <w:tc>
          <w:tcPr>
            <w:tcW w:w="1255" w:type="dxa"/>
            <w:noWrap w:val="0"/>
            <w:vAlign w:val="center"/>
          </w:tcPr>
          <w:p w14:paraId="3BFEFF02">
            <w:pPr>
              <w:spacing w:line="260" w:lineRule="exact"/>
              <w:jc w:val="center"/>
              <w:rPr>
                <w:rFonts w:hint="eastAsia"/>
              </w:rPr>
            </w:pPr>
            <w:r>
              <w:rPr>
                <w:rFonts w:hint="eastAsia"/>
              </w:rPr>
              <w:t>资金</w:t>
            </w:r>
          </w:p>
        </w:tc>
        <w:tc>
          <w:tcPr>
            <w:tcW w:w="1077" w:type="dxa"/>
            <w:noWrap w:val="0"/>
            <w:vAlign w:val="center"/>
          </w:tcPr>
          <w:p w14:paraId="1ECA4EB7">
            <w:pPr>
              <w:spacing w:line="260" w:lineRule="exact"/>
              <w:jc w:val="center"/>
              <w:rPr>
                <w:rFonts w:hint="eastAsia"/>
              </w:rPr>
            </w:pPr>
            <w:r>
              <w:rPr>
                <w:rFonts w:hint="eastAsia"/>
              </w:rPr>
              <w:t>中行</w:t>
            </w:r>
          </w:p>
        </w:tc>
        <w:tc>
          <w:tcPr>
            <w:tcW w:w="1398" w:type="dxa"/>
            <w:noWrap w:val="0"/>
            <w:vAlign w:val="center"/>
          </w:tcPr>
          <w:p w14:paraId="65512A51">
            <w:pPr>
              <w:jc w:val="center"/>
              <w:rPr>
                <w:rFonts w:ascii="宋体" w:hAnsi="宋体"/>
                <w:sz w:val="24"/>
                <w:szCs w:val="24"/>
              </w:rPr>
            </w:pPr>
            <w:r>
              <w:rPr>
                <w:rFonts w:hint="eastAsia" w:ascii="宋体" w:hAnsi="宋体"/>
                <w:sz w:val="24"/>
                <w:szCs w:val="24"/>
              </w:rPr>
              <w:t>41.0</w:t>
            </w:r>
          </w:p>
        </w:tc>
        <w:tc>
          <w:tcPr>
            <w:tcW w:w="1651" w:type="dxa"/>
            <w:noWrap w:val="0"/>
            <w:vAlign w:val="center"/>
          </w:tcPr>
          <w:p w14:paraId="59AEE3D1">
            <w:pPr>
              <w:jc w:val="center"/>
              <w:rPr>
                <w:rFonts w:ascii="宋体" w:hAnsi="宋体"/>
                <w:sz w:val="24"/>
                <w:szCs w:val="24"/>
              </w:rPr>
            </w:pPr>
            <w:r>
              <w:rPr>
                <w:rFonts w:hint="eastAsia" w:ascii="宋体" w:hAnsi="宋体"/>
                <w:sz w:val="24"/>
                <w:szCs w:val="24"/>
              </w:rPr>
              <w:t>16.5</w:t>
            </w:r>
          </w:p>
        </w:tc>
        <w:tc>
          <w:tcPr>
            <w:tcW w:w="1255" w:type="dxa"/>
            <w:noWrap w:val="0"/>
            <w:vAlign w:val="center"/>
          </w:tcPr>
          <w:p w14:paraId="775B002A">
            <w:pPr>
              <w:jc w:val="center"/>
              <w:rPr>
                <w:rFonts w:ascii="宋体" w:hAnsi="宋体"/>
                <w:sz w:val="24"/>
                <w:szCs w:val="24"/>
              </w:rPr>
            </w:pPr>
            <w:r>
              <w:rPr>
                <w:rFonts w:hint="eastAsia" w:ascii="宋体" w:hAnsi="宋体"/>
                <w:sz w:val="24"/>
                <w:szCs w:val="24"/>
              </w:rPr>
              <w:t>40.2%</w:t>
            </w:r>
          </w:p>
        </w:tc>
        <w:tc>
          <w:tcPr>
            <w:tcW w:w="1255" w:type="dxa"/>
            <w:noWrap w:val="0"/>
            <w:vAlign w:val="center"/>
          </w:tcPr>
          <w:p w14:paraId="1A6F06A4">
            <w:pPr>
              <w:jc w:val="center"/>
              <w:rPr>
                <w:rFonts w:ascii="宋体" w:hAnsi="宋体"/>
                <w:sz w:val="24"/>
                <w:szCs w:val="24"/>
              </w:rPr>
            </w:pPr>
          </w:p>
        </w:tc>
      </w:tr>
      <w:tr w14:paraId="4501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70EB2338">
            <w:pPr>
              <w:spacing w:line="260" w:lineRule="exact"/>
              <w:jc w:val="center"/>
              <w:rPr>
                <w:rFonts w:hint="eastAsia"/>
                <w:szCs w:val="21"/>
              </w:rPr>
            </w:pPr>
            <w:r>
              <w:rPr>
                <w:rFonts w:hint="eastAsia"/>
                <w:szCs w:val="21"/>
              </w:rPr>
              <w:t>南通农副产品</w:t>
            </w:r>
          </w:p>
          <w:p w14:paraId="11EF13EE">
            <w:pPr>
              <w:spacing w:line="260" w:lineRule="exact"/>
              <w:jc w:val="center"/>
              <w:rPr>
                <w:szCs w:val="21"/>
              </w:rPr>
            </w:pPr>
            <w:r>
              <w:rPr>
                <w:rFonts w:hint="eastAsia"/>
                <w:szCs w:val="21"/>
              </w:rPr>
              <w:t>物流有限公司</w:t>
            </w:r>
          </w:p>
        </w:tc>
        <w:tc>
          <w:tcPr>
            <w:tcW w:w="1658" w:type="dxa"/>
            <w:noWrap w:val="0"/>
            <w:vAlign w:val="center"/>
          </w:tcPr>
          <w:p w14:paraId="0FE88599">
            <w:pPr>
              <w:spacing w:line="260" w:lineRule="exact"/>
              <w:jc w:val="center"/>
            </w:pPr>
            <w:r>
              <w:rPr>
                <w:rFonts w:hint="eastAsia"/>
              </w:rPr>
              <w:t>320600AAA0001</w:t>
            </w:r>
          </w:p>
        </w:tc>
        <w:tc>
          <w:tcPr>
            <w:tcW w:w="2231" w:type="dxa"/>
            <w:noWrap w:val="0"/>
            <w:vAlign w:val="center"/>
          </w:tcPr>
          <w:p w14:paraId="13EE33B5">
            <w:pPr>
              <w:spacing w:line="260" w:lineRule="exact"/>
              <w:jc w:val="center"/>
            </w:pPr>
            <w:r>
              <w:rPr>
                <w:rFonts w:hint="eastAsia"/>
              </w:rPr>
              <w:t>规模发卡企业、20%</w:t>
            </w:r>
          </w:p>
        </w:tc>
        <w:tc>
          <w:tcPr>
            <w:tcW w:w="1614" w:type="dxa"/>
            <w:noWrap w:val="0"/>
            <w:vAlign w:val="center"/>
          </w:tcPr>
          <w:p w14:paraId="493F9B81">
            <w:pPr>
              <w:spacing w:line="260" w:lineRule="exact"/>
              <w:jc w:val="center"/>
              <w:rPr>
                <w:rFonts w:hint="eastAsia"/>
              </w:rPr>
            </w:pPr>
            <w:r>
              <w:rPr>
                <w:rFonts w:hint="eastAsia"/>
              </w:rPr>
              <w:t>南通市商务局</w:t>
            </w:r>
          </w:p>
        </w:tc>
        <w:tc>
          <w:tcPr>
            <w:tcW w:w="1255" w:type="dxa"/>
            <w:noWrap w:val="0"/>
            <w:vAlign w:val="center"/>
          </w:tcPr>
          <w:p w14:paraId="2974D0AA">
            <w:pPr>
              <w:spacing w:line="260" w:lineRule="exact"/>
              <w:jc w:val="center"/>
            </w:pPr>
            <w:r>
              <w:rPr>
                <w:rFonts w:hint="eastAsia"/>
              </w:rPr>
              <w:t>资金</w:t>
            </w:r>
          </w:p>
        </w:tc>
        <w:tc>
          <w:tcPr>
            <w:tcW w:w="1077" w:type="dxa"/>
            <w:noWrap w:val="0"/>
            <w:vAlign w:val="center"/>
          </w:tcPr>
          <w:p w14:paraId="7369E33A">
            <w:pPr>
              <w:spacing w:line="260" w:lineRule="exact"/>
              <w:jc w:val="center"/>
              <w:rPr>
                <w:rFonts w:hint="eastAsia"/>
              </w:rPr>
            </w:pPr>
            <w:r>
              <w:rPr>
                <w:rFonts w:hint="eastAsia"/>
              </w:rPr>
              <w:t>工行</w:t>
            </w:r>
          </w:p>
        </w:tc>
        <w:tc>
          <w:tcPr>
            <w:tcW w:w="1398" w:type="dxa"/>
            <w:noWrap w:val="0"/>
            <w:vAlign w:val="center"/>
          </w:tcPr>
          <w:p w14:paraId="0F177C33">
            <w:pPr>
              <w:jc w:val="center"/>
              <w:rPr>
                <w:rFonts w:ascii="宋体" w:hAnsi="宋体"/>
                <w:sz w:val="24"/>
                <w:szCs w:val="24"/>
              </w:rPr>
            </w:pPr>
            <w:r>
              <w:rPr>
                <w:rFonts w:hint="eastAsia" w:ascii="宋体" w:hAnsi="宋体"/>
                <w:sz w:val="24"/>
                <w:szCs w:val="24"/>
              </w:rPr>
              <w:t>5.4</w:t>
            </w:r>
          </w:p>
        </w:tc>
        <w:tc>
          <w:tcPr>
            <w:tcW w:w="1651" w:type="dxa"/>
            <w:noWrap w:val="0"/>
            <w:vAlign w:val="center"/>
          </w:tcPr>
          <w:p w14:paraId="22C209C8">
            <w:pPr>
              <w:jc w:val="center"/>
              <w:rPr>
                <w:rFonts w:ascii="宋体" w:hAnsi="宋体"/>
                <w:sz w:val="24"/>
                <w:szCs w:val="24"/>
              </w:rPr>
            </w:pPr>
            <w:r>
              <w:rPr>
                <w:rFonts w:hint="eastAsia" w:ascii="宋体" w:hAnsi="宋体"/>
                <w:sz w:val="24"/>
                <w:szCs w:val="24"/>
              </w:rPr>
              <w:t>8.9</w:t>
            </w:r>
          </w:p>
        </w:tc>
        <w:tc>
          <w:tcPr>
            <w:tcW w:w="1255" w:type="dxa"/>
            <w:noWrap w:val="0"/>
            <w:vAlign w:val="center"/>
          </w:tcPr>
          <w:p w14:paraId="0CBF7795">
            <w:pPr>
              <w:jc w:val="center"/>
              <w:rPr>
                <w:rFonts w:ascii="宋体" w:hAnsi="宋体"/>
                <w:sz w:val="24"/>
                <w:szCs w:val="24"/>
              </w:rPr>
            </w:pPr>
            <w:r>
              <w:rPr>
                <w:rFonts w:hint="eastAsia" w:ascii="宋体" w:hAnsi="宋体"/>
                <w:sz w:val="24"/>
                <w:szCs w:val="24"/>
              </w:rPr>
              <w:t>100%</w:t>
            </w:r>
          </w:p>
        </w:tc>
        <w:tc>
          <w:tcPr>
            <w:tcW w:w="1255" w:type="dxa"/>
            <w:noWrap w:val="0"/>
            <w:vAlign w:val="center"/>
          </w:tcPr>
          <w:p w14:paraId="6651473D">
            <w:pPr>
              <w:jc w:val="center"/>
              <w:rPr>
                <w:rFonts w:ascii="宋体" w:hAnsi="宋体"/>
                <w:sz w:val="24"/>
                <w:szCs w:val="24"/>
              </w:rPr>
            </w:pPr>
          </w:p>
        </w:tc>
      </w:tr>
      <w:tr w14:paraId="757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297BD911">
            <w:pPr>
              <w:spacing w:line="260" w:lineRule="exact"/>
              <w:jc w:val="center"/>
              <w:rPr>
                <w:rFonts w:hint="eastAsia"/>
                <w:szCs w:val="21"/>
              </w:rPr>
            </w:pPr>
            <w:r>
              <w:rPr>
                <w:rFonts w:hint="eastAsia"/>
                <w:szCs w:val="21"/>
              </w:rPr>
              <w:t>南通市水脉堂餐饮</w:t>
            </w:r>
          </w:p>
          <w:p w14:paraId="073C5BD9">
            <w:pPr>
              <w:spacing w:line="260" w:lineRule="exact"/>
              <w:jc w:val="center"/>
              <w:rPr>
                <w:szCs w:val="21"/>
              </w:rPr>
            </w:pPr>
            <w:r>
              <w:rPr>
                <w:rFonts w:hint="eastAsia"/>
                <w:szCs w:val="21"/>
              </w:rPr>
              <w:t>管理有限公司</w:t>
            </w:r>
          </w:p>
        </w:tc>
        <w:tc>
          <w:tcPr>
            <w:tcW w:w="1658" w:type="dxa"/>
            <w:noWrap w:val="0"/>
            <w:vAlign w:val="center"/>
          </w:tcPr>
          <w:p w14:paraId="4A83D8D7">
            <w:pPr>
              <w:spacing w:line="260" w:lineRule="exact"/>
              <w:jc w:val="center"/>
            </w:pPr>
            <w:r>
              <w:rPr>
                <w:rFonts w:hint="eastAsia"/>
              </w:rPr>
              <w:t>320600ABE0002</w:t>
            </w:r>
          </w:p>
        </w:tc>
        <w:tc>
          <w:tcPr>
            <w:tcW w:w="2231" w:type="dxa"/>
            <w:noWrap w:val="0"/>
            <w:vAlign w:val="center"/>
          </w:tcPr>
          <w:p w14:paraId="64205A0D">
            <w:pPr>
              <w:spacing w:line="260" w:lineRule="exact"/>
              <w:jc w:val="center"/>
            </w:pPr>
            <w:r>
              <w:rPr>
                <w:rFonts w:hint="eastAsia"/>
              </w:rPr>
              <w:t>规模发卡企业、20%</w:t>
            </w:r>
          </w:p>
        </w:tc>
        <w:tc>
          <w:tcPr>
            <w:tcW w:w="1614" w:type="dxa"/>
            <w:noWrap w:val="0"/>
            <w:vAlign w:val="center"/>
          </w:tcPr>
          <w:p w14:paraId="7FBC641C">
            <w:pPr>
              <w:spacing w:line="260" w:lineRule="exact"/>
              <w:jc w:val="center"/>
              <w:rPr>
                <w:rFonts w:hint="eastAsia"/>
              </w:rPr>
            </w:pPr>
            <w:r>
              <w:rPr>
                <w:rFonts w:hint="eastAsia"/>
              </w:rPr>
              <w:t>南通市商务局</w:t>
            </w:r>
          </w:p>
        </w:tc>
        <w:tc>
          <w:tcPr>
            <w:tcW w:w="1255" w:type="dxa"/>
            <w:noWrap w:val="0"/>
            <w:vAlign w:val="center"/>
          </w:tcPr>
          <w:p w14:paraId="0400B282">
            <w:pPr>
              <w:spacing w:line="260" w:lineRule="exact"/>
              <w:jc w:val="center"/>
            </w:pPr>
            <w:r>
              <w:rPr>
                <w:rFonts w:hint="eastAsia"/>
              </w:rPr>
              <w:t>资金</w:t>
            </w:r>
          </w:p>
        </w:tc>
        <w:tc>
          <w:tcPr>
            <w:tcW w:w="1077" w:type="dxa"/>
            <w:noWrap w:val="0"/>
            <w:vAlign w:val="center"/>
          </w:tcPr>
          <w:p w14:paraId="4312428B">
            <w:pPr>
              <w:spacing w:line="260" w:lineRule="exact"/>
              <w:jc w:val="center"/>
              <w:rPr>
                <w:rFonts w:hint="eastAsia"/>
              </w:rPr>
            </w:pPr>
            <w:r>
              <w:rPr>
                <w:rFonts w:hint="eastAsia"/>
              </w:rPr>
              <w:t>中行</w:t>
            </w:r>
          </w:p>
        </w:tc>
        <w:tc>
          <w:tcPr>
            <w:tcW w:w="1398" w:type="dxa"/>
            <w:noWrap w:val="0"/>
            <w:vAlign w:val="center"/>
          </w:tcPr>
          <w:p w14:paraId="411582A8">
            <w:pPr>
              <w:jc w:val="center"/>
              <w:rPr>
                <w:rFonts w:ascii="宋体" w:hAnsi="宋体"/>
                <w:sz w:val="24"/>
                <w:szCs w:val="24"/>
              </w:rPr>
            </w:pPr>
            <w:r>
              <w:rPr>
                <w:rFonts w:hint="eastAsia" w:ascii="宋体" w:hAnsi="宋体"/>
                <w:sz w:val="24"/>
                <w:szCs w:val="24"/>
              </w:rPr>
              <w:t>20.0</w:t>
            </w:r>
          </w:p>
        </w:tc>
        <w:tc>
          <w:tcPr>
            <w:tcW w:w="1651" w:type="dxa"/>
            <w:noWrap w:val="0"/>
            <w:vAlign w:val="center"/>
          </w:tcPr>
          <w:p w14:paraId="3CCBB671">
            <w:pPr>
              <w:jc w:val="center"/>
              <w:rPr>
                <w:rFonts w:ascii="宋体" w:hAnsi="宋体"/>
                <w:sz w:val="24"/>
                <w:szCs w:val="24"/>
              </w:rPr>
            </w:pPr>
            <w:r>
              <w:rPr>
                <w:rFonts w:hint="eastAsia" w:ascii="宋体" w:hAnsi="宋体"/>
                <w:sz w:val="24"/>
                <w:szCs w:val="24"/>
              </w:rPr>
              <w:t>4.3</w:t>
            </w:r>
          </w:p>
        </w:tc>
        <w:tc>
          <w:tcPr>
            <w:tcW w:w="1255" w:type="dxa"/>
            <w:noWrap w:val="0"/>
            <w:vAlign w:val="center"/>
          </w:tcPr>
          <w:p w14:paraId="0E41A091">
            <w:pPr>
              <w:jc w:val="center"/>
              <w:rPr>
                <w:rFonts w:ascii="宋体" w:hAnsi="宋体"/>
                <w:sz w:val="24"/>
                <w:szCs w:val="24"/>
              </w:rPr>
            </w:pPr>
            <w:r>
              <w:rPr>
                <w:rFonts w:hint="eastAsia" w:ascii="宋体" w:hAnsi="宋体"/>
                <w:sz w:val="24"/>
                <w:szCs w:val="24"/>
              </w:rPr>
              <w:t>21.5%</w:t>
            </w:r>
          </w:p>
        </w:tc>
        <w:tc>
          <w:tcPr>
            <w:tcW w:w="1255" w:type="dxa"/>
            <w:noWrap w:val="0"/>
            <w:vAlign w:val="center"/>
          </w:tcPr>
          <w:p w14:paraId="71D3D283">
            <w:pPr>
              <w:jc w:val="center"/>
              <w:rPr>
                <w:rFonts w:ascii="宋体" w:hAnsi="宋体"/>
                <w:sz w:val="24"/>
                <w:szCs w:val="24"/>
              </w:rPr>
            </w:pPr>
          </w:p>
        </w:tc>
      </w:tr>
      <w:tr w14:paraId="58D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340893CB">
            <w:pPr>
              <w:spacing w:line="260" w:lineRule="exact"/>
              <w:jc w:val="center"/>
              <w:rPr>
                <w:rFonts w:hint="eastAsia"/>
                <w:szCs w:val="21"/>
              </w:rPr>
            </w:pPr>
            <w:r>
              <w:rPr>
                <w:rFonts w:hint="eastAsia"/>
                <w:szCs w:val="21"/>
              </w:rPr>
              <w:t>南通市圣水超市</w:t>
            </w:r>
          </w:p>
          <w:p w14:paraId="6C3C6393">
            <w:pPr>
              <w:spacing w:line="260" w:lineRule="exact"/>
              <w:jc w:val="center"/>
              <w:rPr>
                <w:rFonts w:hint="eastAsia"/>
                <w:szCs w:val="21"/>
              </w:rPr>
            </w:pPr>
            <w:r>
              <w:rPr>
                <w:rFonts w:hint="eastAsia"/>
                <w:szCs w:val="21"/>
              </w:rPr>
              <w:t>连锁有限公司</w:t>
            </w:r>
          </w:p>
        </w:tc>
        <w:tc>
          <w:tcPr>
            <w:tcW w:w="1658" w:type="dxa"/>
            <w:noWrap w:val="0"/>
            <w:vAlign w:val="center"/>
          </w:tcPr>
          <w:p w14:paraId="07BAAE34">
            <w:pPr>
              <w:spacing w:line="260" w:lineRule="exact"/>
              <w:jc w:val="center"/>
              <w:rPr>
                <w:rFonts w:hint="eastAsia"/>
              </w:rPr>
            </w:pPr>
            <w:r>
              <w:rPr>
                <w:rFonts w:hint="eastAsia"/>
              </w:rPr>
              <w:t>320600AAA0003</w:t>
            </w:r>
          </w:p>
        </w:tc>
        <w:tc>
          <w:tcPr>
            <w:tcW w:w="2231" w:type="dxa"/>
            <w:noWrap w:val="0"/>
            <w:vAlign w:val="center"/>
          </w:tcPr>
          <w:p w14:paraId="721E57B2">
            <w:pPr>
              <w:spacing w:line="260" w:lineRule="exact"/>
              <w:jc w:val="center"/>
            </w:pPr>
            <w:r>
              <w:rPr>
                <w:rFonts w:hint="eastAsia"/>
              </w:rPr>
              <w:t>规模发卡企业、20%</w:t>
            </w:r>
          </w:p>
        </w:tc>
        <w:tc>
          <w:tcPr>
            <w:tcW w:w="1614" w:type="dxa"/>
            <w:noWrap w:val="0"/>
            <w:vAlign w:val="center"/>
          </w:tcPr>
          <w:p w14:paraId="110F750D">
            <w:pPr>
              <w:spacing w:line="260" w:lineRule="exact"/>
              <w:jc w:val="center"/>
            </w:pPr>
            <w:r>
              <w:rPr>
                <w:rFonts w:hint="eastAsia"/>
              </w:rPr>
              <w:t>南通市商务局</w:t>
            </w:r>
          </w:p>
        </w:tc>
        <w:tc>
          <w:tcPr>
            <w:tcW w:w="1255" w:type="dxa"/>
            <w:noWrap w:val="0"/>
            <w:vAlign w:val="center"/>
          </w:tcPr>
          <w:p w14:paraId="32AFE354">
            <w:pPr>
              <w:spacing w:line="260" w:lineRule="exact"/>
              <w:jc w:val="center"/>
            </w:pPr>
            <w:r>
              <w:rPr>
                <w:rFonts w:hint="eastAsia"/>
              </w:rPr>
              <w:t>资金</w:t>
            </w:r>
          </w:p>
        </w:tc>
        <w:tc>
          <w:tcPr>
            <w:tcW w:w="1077" w:type="dxa"/>
            <w:noWrap w:val="0"/>
            <w:vAlign w:val="center"/>
          </w:tcPr>
          <w:p w14:paraId="1B02E028">
            <w:pPr>
              <w:spacing w:line="260" w:lineRule="exact"/>
              <w:jc w:val="center"/>
              <w:rPr>
                <w:rFonts w:hint="eastAsia"/>
              </w:rPr>
            </w:pPr>
            <w:r>
              <w:rPr>
                <w:rFonts w:hint="eastAsia"/>
              </w:rPr>
              <w:t>工行</w:t>
            </w:r>
          </w:p>
        </w:tc>
        <w:tc>
          <w:tcPr>
            <w:tcW w:w="1398" w:type="dxa"/>
            <w:noWrap w:val="0"/>
            <w:vAlign w:val="center"/>
          </w:tcPr>
          <w:p w14:paraId="50E317CB">
            <w:pPr>
              <w:jc w:val="center"/>
              <w:rPr>
                <w:rFonts w:ascii="宋体" w:hAnsi="宋体"/>
                <w:sz w:val="24"/>
                <w:szCs w:val="24"/>
              </w:rPr>
            </w:pPr>
            <w:r>
              <w:rPr>
                <w:rFonts w:hint="eastAsia" w:ascii="宋体" w:hAnsi="宋体"/>
                <w:sz w:val="24"/>
                <w:szCs w:val="24"/>
              </w:rPr>
              <w:t>16.8</w:t>
            </w:r>
          </w:p>
        </w:tc>
        <w:tc>
          <w:tcPr>
            <w:tcW w:w="1651" w:type="dxa"/>
            <w:noWrap w:val="0"/>
            <w:vAlign w:val="center"/>
          </w:tcPr>
          <w:p w14:paraId="652345CD">
            <w:pPr>
              <w:jc w:val="center"/>
              <w:rPr>
                <w:rFonts w:ascii="宋体" w:hAnsi="宋体"/>
                <w:sz w:val="24"/>
                <w:szCs w:val="24"/>
              </w:rPr>
            </w:pPr>
            <w:r>
              <w:rPr>
                <w:rFonts w:hint="eastAsia" w:ascii="宋体" w:hAnsi="宋体"/>
                <w:sz w:val="24"/>
                <w:szCs w:val="24"/>
              </w:rPr>
              <w:t>3.7</w:t>
            </w:r>
          </w:p>
        </w:tc>
        <w:tc>
          <w:tcPr>
            <w:tcW w:w="1255" w:type="dxa"/>
            <w:noWrap w:val="0"/>
            <w:vAlign w:val="center"/>
          </w:tcPr>
          <w:p w14:paraId="5F58F104">
            <w:pPr>
              <w:jc w:val="center"/>
              <w:rPr>
                <w:rFonts w:ascii="宋体" w:hAnsi="宋体"/>
                <w:sz w:val="24"/>
                <w:szCs w:val="24"/>
              </w:rPr>
            </w:pPr>
            <w:r>
              <w:rPr>
                <w:rFonts w:hint="eastAsia" w:ascii="宋体" w:hAnsi="宋体"/>
                <w:sz w:val="24"/>
                <w:szCs w:val="24"/>
              </w:rPr>
              <w:t>22.0%</w:t>
            </w:r>
          </w:p>
        </w:tc>
        <w:tc>
          <w:tcPr>
            <w:tcW w:w="1255" w:type="dxa"/>
            <w:noWrap w:val="0"/>
            <w:vAlign w:val="center"/>
          </w:tcPr>
          <w:p w14:paraId="6E5A1BC6">
            <w:pPr>
              <w:jc w:val="center"/>
              <w:rPr>
                <w:rFonts w:ascii="宋体" w:hAnsi="宋体"/>
                <w:sz w:val="24"/>
                <w:szCs w:val="24"/>
              </w:rPr>
            </w:pPr>
          </w:p>
        </w:tc>
      </w:tr>
      <w:tr w14:paraId="7615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58EF3739">
            <w:pPr>
              <w:spacing w:line="260" w:lineRule="exact"/>
              <w:jc w:val="center"/>
              <w:rPr>
                <w:rFonts w:hint="eastAsia"/>
                <w:szCs w:val="21"/>
              </w:rPr>
            </w:pPr>
            <w:r>
              <w:rPr>
                <w:rFonts w:hint="eastAsia"/>
                <w:szCs w:val="21"/>
              </w:rPr>
              <w:t>南通中南新世界中心开发有限公司</w:t>
            </w:r>
          </w:p>
        </w:tc>
        <w:tc>
          <w:tcPr>
            <w:tcW w:w="1658" w:type="dxa"/>
            <w:noWrap w:val="0"/>
            <w:vAlign w:val="center"/>
          </w:tcPr>
          <w:p w14:paraId="31C116B0">
            <w:pPr>
              <w:spacing w:line="260" w:lineRule="exact"/>
              <w:jc w:val="center"/>
              <w:rPr>
                <w:rFonts w:hint="eastAsia"/>
              </w:rPr>
            </w:pPr>
            <w:r>
              <w:rPr>
                <w:rFonts w:hint="eastAsia"/>
              </w:rPr>
              <w:t>320600AAA0004</w:t>
            </w:r>
          </w:p>
        </w:tc>
        <w:tc>
          <w:tcPr>
            <w:tcW w:w="2231" w:type="dxa"/>
            <w:noWrap w:val="0"/>
            <w:vAlign w:val="center"/>
          </w:tcPr>
          <w:p w14:paraId="20E35B07">
            <w:pPr>
              <w:spacing w:line="260" w:lineRule="exact"/>
              <w:jc w:val="center"/>
            </w:pPr>
            <w:r>
              <w:rPr>
                <w:rFonts w:hint="eastAsia"/>
              </w:rPr>
              <w:t>规模发卡企业、20%</w:t>
            </w:r>
          </w:p>
        </w:tc>
        <w:tc>
          <w:tcPr>
            <w:tcW w:w="1614" w:type="dxa"/>
            <w:noWrap w:val="0"/>
            <w:vAlign w:val="center"/>
          </w:tcPr>
          <w:p w14:paraId="10F08947">
            <w:pPr>
              <w:spacing w:line="260" w:lineRule="exact"/>
              <w:jc w:val="center"/>
            </w:pPr>
            <w:r>
              <w:rPr>
                <w:rFonts w:hint="eastAsia"/>
              </w:rPr>
              <w:t>南通市商务局</w:t>
            </w:r>
          </w:p>
        </w:tc>
        <w:tc>
          <w:tcPr>
            <w:tcW w:w="1255" w:type="dxa"/>
            <w:noWrap w:val="0"/>
            <w:vAlign w:val="center"/>
          </w:tcPr>
          <w:p w14:paraId="55855A83">
            <w:pPr>
              <w:spacing w:line="260" w:lineRule="exact"/>
              <w:jc w:val="center"/>
            </w:pPr>
            <w:r>
              <w:rPr>
                <w:rFonts w:hint="eastAsia"/>
              </w:rPr>
              <w:t>资金</w:t>
            </w:r>
          </w:p>
        </w:tc>
        <w:tc>
          <w:tcPr>
            <w:tcW w:w="1077" w:type="dxa"/>
            <w:noWrap w:val="0"/>
            <w:vAlign w:val="center"/>
          </w:tcPr>
          <w:p w14:paraId="0DE82A67">
            <w:pPr>
              <w:spacing w:line="260" w:lineRule="exact"/>
              <w:jc w:val="center"/>
              <w:rPr>
                <w:rFonts w:hint="eastAsia"/>
              </w:rPr>
            </w:pPr>
            <w:r>
              <w:rPr>
                <w:rFonts w:hint="eastAsia"/>
              </w:rPr>
              <w:t>中行</w:t>
            </w:r>
          </w:p>
        </w:tc>
        <w:tc>
          <w:tcPr>
            <w:tcW w:w="1398" w:type="dxa"/>
            <w:noWrap w:val="0"/>
            <w:vAlign w:val="center"/>
          </w:tcPr>
          <w:p w14:paraId="0B344BA2">
            <w:pPr>
              <w:jc w:val="center"/>
              <w:rPr>
                <w:rFonts w:ascii="宋体" w:hAnsi="宋体"/>
                <w:sz w:val="24"/>
                <w:szCs w:val="24"/>
              </w:rPr>
            </w:pPr>
            <w:r>
              <w:rPr>
                <w:rFonts w:hint="eastAsia" w:ascii="宋体" w:hAnsi="宋体"/>
                <w:sz w:val="24"/>
                <w:szCs w:val="24"/>
              </w:rPr>
              <w:t>42.9</w:t>
            </w:r>
          </w:p>
        </w:tc>
        <w:tc>
          <w:tcPr>
            <w:tcW w:w="1651" w:type="dxa"/>
            <w:noWrap w:val="0"/>
            <w:vAlign w:val="center"/>
          </w:tcPr>
          <w:p w14:paraId="3E42858A">
            <w:pPr>
              <w:jc w:val="center"/>
              <w:rPr>
                <w:rFonts w:ascii="宋体" w:hAnsi="宋体"/>
                <w:sz w:val="24"/>
                <w:szCs w:val="24"/>
              </w:rPr>
            </w:pPr>
            <w:r>
              <w:rPr>
                <w:rFonts w:hint="eastAsia" w:ascii="宋体" w:hAnsi="宋体"/>
                <w:sz w:val="24"/>
                <w:szCs w:val="24"/>
              </w:rPr>
              <w:t>80.7</w:t>
            </w:r>
          </w:p>
        </w:tc>
        <w:tc>
          <w:tcPr>
            <w:tcW w:w="1255" w:type="dxa"/>
            <w:noWrap w:val="0"/>
            <w:vAlign w:val="center"/>
          </w:tcPr>
          <w:p w14:paraId="405BBE66">
            <w:pPr>
              <w:jc w:val="center"/>
              <w:rPr>
                <w:rFonts w:ascii="宋体" w:hAnsi="宋体"/>
                <w:sz w:val="24"/>
                <w:szCs w:val="24"/>
              </w:rPr>
            </w:pPr>
            <w:r>
              <w:rPr>
                <w:rFonts w:hint="eastAsia" w:ascii="宋体" w:hAnsi="宋体"/>
                <w:sz w:val="24"/>
                <w:szCs w:val="24"/>
              </w:rPr>
              <w:t>100%</w:t>
            </w:r>
          </w:p>
        </w:tc>
        <w:tc>
          <w:tcPr>
            <w:tcW w:w="1255" w:type="dxa"/>
            <w:noWrap w:val="0"/>
            <w:vAlign w:val="center"/>
          </w:tcPr>
          <w:p w14:paraId="199D64E6">
            <w:pPr>
              <w:jc w:val="center"/>
              <w:rPr>
                <w:rFonts w:ascii="宋体" w:hAnsi="宋体"/>
                <w:sz w:val="24"/>
                <w:szCs w:val="24"/>
              </w:rPr>
            </w:pPr>
          </w:p>
        </w:tc>
      </w:tr>
      <w:tr w14:paraId="63B9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539B4309">
            <w:pPr>
              <w:spacing w:line="260" w:lineRule="exact"/>
              <w:jc w:val="center"/>
              <w:rPr>
                <w:rFonts w:hint="eastAsia"/>
                <w:szCs w:val="21"/>
              </w:rPr>
            </w:pPr>
            <w:r>
              <w:t>南通市欧蒂食品有限公司</w:t>
            </w:r>
            <w:r>
              <w:rPr>
                <w:rFonts w:hint="eastAsia"/>
              </w:rPr>
              <w:t>（菲颂蛋糕）</w:t>
            </w:r>
          </w:p>
        </w:tc>
        <w:tc>
          <w:tcPr>
            <w:tcW w:w="1658" w:type="dxa"/>
            <w:noWrap w:val="0"/>
            <w:vAlign w:val="center"/>
          </w:tcPr>
          <w:p w14:paraId="3B223FCB">
            <w:pPr>
              <w:spacing w:line="260" w:lineRule="exact"/>
              <w:jc w:val="center"/>
              <w:rPr>
                <w:rFonts w:hint="eastAsia"/>
              </w:rPr>
            </w:pPr>
            <w:r>
              <w:t>320600AAB0021</w:t>
            </w:r>
          </w:p>
        </w:tc>
        <w:tc>
          <w:tcPr>
            <w:tcW w:w="2231" w:type="dxa"/>
            <w:noWrap w:val="0"/>
            <w:vAlign w:val="center"/>
          </w:tcPr>
          <w:p w14:paraId="6C4B55F1">
            <w:pPr>
              <w:spacing w:line="260" w:lineRule="exact"/>
              <w:jc w:val="center"/>
            </w:pPr>
            <w:r>
              <w:rPr>
                <w:rFonts w:hint="eastAsia"/>
              </w:rPr>
              <w:t>规模发卡企业、20%</w:t>
            </w:r>
          </w:p>
        </w:tc>
        <w:tc>
          <w:tcPr>
            <w:tcW w:w="1614" w:type="dxa"/>
            <w:noWrap w:val="0"/>
            <w:vAlign w:val="center"/>
          </w:tcPr>
          <w:p w14:paraId="48BC6072">
            <w:pPr>
              <w:spacing w:line="260" w:lineRule="exact"/>
              <w:jc w:val="center"/>
            </w:pPr>
            <w:r>
              <w:rPr>
                <w:rFonts w:hint="eastAsia"/>
              </w:rPr>
              <w:t>南通市商务局</w:t>
            </w:r>
          </w:p>
        </w:tc>
        <w:tc>
          <w:tcPr>
            <w:tcW w:w="1255" w:type="dxa"/>
            <w:noWrap w:val="0"/>
            <w:vAlign w:val="center"/>
          </w:tcPr>
          <w:p w14:paraId="36B48064">
            <w:pPr>
              <w:spacing w:line="260" w:lineRule="exact"/>
              <w:jc w:val="center"/>
            </w:pPr>
            <w:r>
              <w:rPr>
                <w:rFonts w:hint="eastAsia"/>
              </w:rPr>
              <w:t>资金</w:t>
            </w:r>
          </w:p>
        </w:tc>
        <w:tc>
          <w:tcPr>
            <w:tcW w:w="1077" w:type="dxa"/>
            <w:noWrap w:val="0"/>
            <w:vAlign w:val="center"/>
          </w:tcPr>
          <w:p w14:paraId="0E0E8822">
            <w:pPr>
              <w:spacing w:line="260" w:lineRule="exact"/>
              <w:jc w:val="center"/>
              <w:rPr>
                <w:rFonts w:hint="eastAsia"/>
              </w:rPr>
            </w:pPr>
            <w:r>
              <w:rPr>
                <w:rFonts w:hint="eastAsia"/>
              </w:rPr>
              <w:t>中行</w:t>
            </w:r>
          </w:p>
        </w:tc>
        <w:tc>
          <w:tcPr>
            <w:tcW w:w="1398" w:type="dxa"/>
            <w:noWrap w:val="0"/>
            <w:vAlign w:val="center"/>
          </w:tcPr>
          <w:p w14:paraId="61558267">
            <w:pPr>
              <w:jc w:val="center"/>
              <w:rPr>
                <w:rFonts w:ascii="宋体" w:hAnsi="宋体"/>
                <w:sz w:val="24"/>
                <w:szCs w:val="24"/>
              </w:rPr>
            </w:pPr>
            <w:r>
              <w:rPr>
                <w:rFonts w:hint="eastAsia" w:ascii="宋体" w:hAnsi="宋体"/>
                <w:sz w:val="24"/>
                <w:szCs w:val="24"/>
              </w:rPr>
              <w:t>152.6</w:t>
            </w:r>
          </w:p>
        </w:tc>
        <w:tc>
          <w:tcPr>
            <w:tcW w:w="1651" w:type="dxa"/>
            <w:noWrap w:val="0"/>
            <w:vAlign w:val="center"/>
          </w:tcPr>
          <w:p w14:paraId="2F364E57">
            <w:pPr>
              <w:jc w:val="center"/>
              <w:rPr>
                <w:rFonts w:ascii="宋体" w:hAnsi="宋体"/>
                <w:sz w:val="24"/>
                <w:szCs w:val="24"/>
              </w:rPr>
            </w:pPr>
            <w:r>
              <w:rPr>
                <w:rFonts w:hint="eastAsia" w:ascii="宋体" w:hAnsi="宋体"/>
                <w:sz w:val="24"/>
                <w:szCs w:val="24"/>
              </w:rPr>
              <w:t>31.0</w:t>
            </w:r>
          </w:p>
        </w:tc>
        <w:tc>
          <w:tcPr>
            <w:tcW w:w="1255" w:type="dxa"/>
            <w:noWrap w:val="0"/>
            <w:vAlign w:val="center"/>
          </w:tcPr>
          <w:p w14:paraId="5B892BFC">
            <w:pPr>
              <w:jc w:val="center"/>
              <w:rPr>
                <w:rFonts w:ascii="宋体" w:hAnsi="宋体"/>
                <w:sz w:val="24"/>
                <w:szCs w:val="24"/>
              </w:rPr>
            </w:pPr>
            <w:r>
              <w:rPr>
                <w:rFonts w:hint="eastAsia" w:ascii="宋体" w:hAnsi="宋体"/>
                <w:sz w:val="24"/>
                <w:szCs w:val="24"/>
              </w:rPr>
              <w:t>20.3%</w:t>
            </w:r>
          </w:p>
        </w:tc>
        <w:tc>
          <w:tcPr>
            <w:tcW w:w="1255" w:type="dxa"/>
            <w:noWrap w:val="0"/>
            <w:vAlign w:val="center"/>
          </w:tcPr>
          <w:p w14:paraId="06072757">
            <w:pPr>
              <w:jc w:val="center"/>
              <w:rPr>
                <w:rFonts w:ascii="宋体" w:hAnsi="宋体"/>
                <w:sz w:val="24"/>
                <w:szCs w:val="24"/>
              </w:rPr>
            </w:pPr>
          </w:p>
        </w:tc>
      </w:tr>
      <w:tr w14:paraId="7AA4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704B405">
            <w:pPr>
              <w:spacing w:line="260" w:lineRule="exact"/>
              <w:jc w:val="center"/>
            </w:pPr>
            <w:r>
              <w:rPr>
                <w:rFonts w:hint="eastAsia" w:ascii="宋体" w:hAnsi="宋体"/>
                <w:szCs w:val="21"/>
              </w:rPr>
              <w:t>南通燃料股份有限公司</w:t>
            </w:r>
          </w:p>
        </w:tc>
        <w:tc>
          <w:tcPr>
            <w:tcW w:w="1658" w:type="dxa"/>
            <w:noWrap w:val="0"/>
            <w:vAlign w:val="center"/>
          </w:tcPr>
          <w:p w14:paraId="35DE61C8">
            <w:pPr>
              <w:spacing w:line="260" w:lineRule="exact"/>
              <w:jc w:val="center"/>
            </w:pPr>
            <w:r>
              <w:rPr>
                <w:rFonts w:hint="eastAsia" w:ascii="宋体" w:hAnsi="宋体"/>
                <w:szCs w:val="21"/>
              </w:rPr>
              <w:t>320600AAB0022</w:t>
            </w:r>
          </w:p>
        </w:tc>
        <w:tc>
          <w:tcPr>
            <w:tcW w:w="2231" w:type="dxa"/>
            <w:noWrap w:val="0"/>
            <w:vAlign w:val="center"/>
          </w:tcPr>
          <w:p w14:paraId="46A86CE7">
            <w:pPr>
              <w:spacing w:line="260" w:lineRule="exact"/>
              <w:jc w:val="center"/>
            </w:pPr>
            <w:r>
              <w:rPr>
                <w:rFonts w:hint="eastAsia"/>
              </w:rPr>
              <w:t>规模发卡企业、20%</w:t>
            </w:r>
          </w:p>
        </w:tc>
        <w:tc>
          <w:tcPr>
            <w:tcW w:w="1614" w:type="dxa"/>
            <w:noWrap w:val="0"/>
            <w:vAlign w:val="center"/>
          </w:tcPr>
          <w:p w14:paraId="29D1DC1D">
            <w:pPr>
              <w:spacing w:line="260" w:lineRule="exact"/>
              <w:jc w:val="center"/>
            </w:pPr>
            <w:r>
              <w:rPr>
                <w:rFonts w:hint="eastAsia"/>
              </w:rPr>
              <w:t>南通市商务局</w:t>
            </w:r>
          </w:p>
        </w:tc>
        <w:tc>
          <w:tcPr>
            <w:tcW w:w="1255" w:type="dxa"/>
            <w:noWrap w:val="0"/>
            <w:vAlign w:val="center"/>
          </w:tcPr>
          <w:p w14:paraId="7A9CBFBE">
            <w:pPr>
              <w:spacing w:line="260" w:lineRule="exact"/>
              <w:jc w:val="center"/>
            </w:pPr>
            <w:r>
              <w:rPr>
                <w:rFonts w:hint="eastAsia"/>
              </w:rPr>
              <w:t>资金</w:t>
            </w:r>
          </w:p>
        </w:tc>
        <w:tc>
          <w:tcPr>
            <w:tcW w:w="1077" w:type="dxa"/>
            <w:noWrap w:val="0"/>
            <w:vAlign w:val="center"/>
          </w:tcPr>
          <w:p w14:paraId="78CCB451">
            <w:pPr>
              <w:spacing w:line="260" w:lineRule="exact"/>
              <w:jc w:val="center"/>
              <w:rPr>
                <w:rFonts w:hint="eastAsia"/>
              </w:rPr>
            </w:pPr>
            <w:r>
              <w:rPr>
                <w:rFonts w:hint="eastAsia"/>
              </w:rPr>
              <w:t>中行</w:t>
            </w:r>
          </w:p>
        </w:tc>
        <w:tc>
          <w:tcPr>
            <w:tcW w:w="1398" w:type="dxa"/>
            <w:noWrap w:val="0"/>
            <w:vAlign w:val="center"/>
          </w:tcPr>
          <w:p w14:paraId="39EE0148">
            <w:pPr>
              <w:jc w:val="center"/>
              <w:rPr>
                <w:rFonts w:ascii="宋体" w:hAnsi="宋体"/>
                <w:sz w:val="24"/>
                <w:szCs w:val="24"/>
              </w:rPr>
            </w:pPr>
            <w:r>
              <w:rPr>
                <w:rFonts w:hint="eastAsia" w:ascii="宋体" w:hAnsi="宋体"/>
                <w:sz w:val="24"/>
                <w:szCs w:val="24"/>
              </w:rPr>
              <w:t>998.4</w:t>
            </w:r>
          </w:p>
        </w:tc>
        <w:tc>
          <w:tcPr>
            <w:tcW w:w="1651" w:type="dxa"/>
            <w:noWrap w:val="0"/>
            <w:vAlign w:val="center"/>
          </w:tcPr>
          <w:p w14:paraId="53E1C58B">
            <w:pPr>
              <w:jc w:val="center"/>
              <w:rPr>
                <w:rFonts w:ascii="宋体" w:hAnsi="宋体"/>
                <w:sz w:val="24"/>
                <w:szCs w:val="24"/>
              </w:rPr>
            </w:pPr>
            <w:r>
              <w:rPr>
                <w:rFonts w:hint="eastAsia" w:ascii="宋体" w:hAnsi="宋体"/>
                <w:sz w:val="24"/>
                <w:szCs w:val="24"/>
              </w:rPr>
              <w:t>200.0</w:t>
            </w:r>
          </w:p>
        </w:tc>
        <w:tc>
          <w:tcPr>
            <w:tcW w:w="1255" w:type="dxa"/>
            <w:noWrap w:val="0"/>
            <w:vAlign w:val="center"/>
          </w:tcPr>
          <w:p w14:paraId="0582D290">
            <w:pPr>
              <w:jc w:val="center"/>
              <w:rPr>
                <w:rFonts w:ascii="宋体" w:hAnsi="宋体"/>
                <w:sz w:val="24"/>
                <w:szCs w:val="24"/>
              </w:rPr>
            </w:pPr>
            <w:r>
              <w:rPr>
                <w:rFonts w:hint="eastAsia" w:ascii="宋体" w:hAnsi="宋体"/>
                <w:sz w:val="24"/>
                <w:szCs w:val="24"/>
              </w:rPr>
              <w:t>20.0%</w:t>
            </w:r>
          </w:p>
        </w:tc>
        <w:tc>
          <w:tcPr>
            <w:tcW w:w="1255" w:type="dxa"/>
            <w:noWrap w:val="0"/>
            <w:vAlign w:val="center"/>
          </w:tcPr>
          <w:p w14:paraId="00635DB9">
            <w:pPr>
              <w:jc w:val="center"/>
              <w:rPr>
                <w:rFonts w:ascii="宋体" w:hAnsi="宋体"/>
                <w:sz w:val="24"/>
                <w:szCs w:val="24"/>
              </w:rPr>
            </w:pPr>
          </w:p>
        </w:tc>
      </w:tr>
      <w:tr w14:paraId="4CBC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13E49543">
            <w:pPr>
              <w:spacing w:line="260" w:lineRule="exact"/>
              <w:jc w:val="center"/>
              <w:rPr>
                <w:rFonts w:hint="eastAsia" w:ascii="宋体" w:hAnsi="宋体"/>
                <w:szCs w:val="21"/>
              </w:rPr>
            </w:pPr>
            <w:r>
              <w:t>南通微福优选电子商务有限公司</w:t>
            </w:r>
          </w:p>
        </w:tc>
        <w:tc>
          <w:tcPr>
            <w:tcW w:w="1658" w:type="dxa"/>
            <w:noWrap w:val="0"/>
            <w:vAlign w:val="center"/>
          </w:tcPr>
          <w:p w14:paraId="1A57BC83">
            <w:pPr>
              <w:spacing w:line="260" w:lineRule="exact"/>
              <w:jc w:val="center"/>
              <w:rPr>
                <w:rFonts w:hint="eastAsia" w:ascii="宋体" w:hAnsi="宋体"/>
                <w:szCs w:val="21"/>
              </w:rPr>
            </w:pPr>
            <w:r>
              <w:t>320600AAC0022</w:t>
            </w:r>
          </w:p>
        </w:tc>
        <w:tc>
          <w:tcPr>
            <w:tcW w:w="2231" w:type="dxa"/>
            <w:noWrap w:val="0"/>
            <w:vAlign w:val="center"/>
          </w:tcPr>
          <w:p w14:paraId="5D594991">
            <w:pPr>
              <w:spacing w:line="260" w:lineRule="exact"/>
              <w:jc w:val="center"/>
            </w:pPr>
            <w:r>
              <w:rPr>
                <w:rFonts w:hint="eastAsia"/>
              </w:rPr>
              <w:t>规模发卡企业、20%</w:t>
            </w:r>
          </w:p>
        </w:tc>
        <w:tc>
          <w:tcPr>
            <w:tcW w:w="1614" w:type="dxa"/>
            <w:noWrap w:val="0"/>
            <w:vAlign w:val="center"/>
          </w:tcPr>
          <w:p w14:paraId="45700FDE">
            <w:pPr>
              <w:spacing w:line="260" w:lineRule="exact"/>
              <w:jc w:val="center"/>
            </w:pPr>
            <w:r>
              <w:rPr>
                <w:rFonts w:hint="eastAsia"/>
              </w:rPr>
              <w:t>南通市商务局</w:t>
            </w:r>
          </w:p>
        </w:tc>
        <w:tc>
          <w:tcPr>
            <w:tcW w:w="1255" w:type="dxa"/>
            <w:noWrap w:val="0"/>
            <w:vAlign w:val="center"/>
          </w:tcPr>
          <w:p w14:paraId="5C1F416A">
            <w:pPr>
              <w:spacing w:line="260" w:lineRule="exact"/>
              <w:jc w:val="center"/>
            </w:pPr>
            <w:r>
              <w:rPr>
                <w:rFonts w:hint="eastAsia"/>
              </w:rPr>
              <w:t>资金</w:t>
            </w:r>
          </w:p>
        </w:tc>
        <w:tc>
          <w:tcPr>
            <w:tcW w:w="1077" w:type="dxa"/>
            <w:noWrap w:val="0"/>
            <w:vAlign w:val="center"/>
          </w:tcPr>
          <w:p w14:paraId="353A8AB6">
            <w:pPr>
              <w:spacing w:line="260" w:lineRule="exact"/>
              <w:jc w:val="center"/>
              <w:rPr>
                <w:rFonts w:hint="eastAsia"/>
              </w:rPr>
            </w:pPr>
            <w:r>
              <w:rPr>
                <w:rFonts w:hint="eastAsia"/>
              </w:rPr>
              <w:t>中行</w:t>
            </w:r>
          </w:p>
        </w:tc>
        <w:tc>
          <w:tcPr>
            <w:tcW w:w="1398" w:type="dxa"/>
            <w:noWrap w:val="0"/>
            <w:vAlign w:val="center"/>
          </w:tcPr>
          <w:p w14:paraId="3A28BC35">
            <w:pPr>
              <w:jc w:val="center"/>
              <w:rPr>
                <w:rFonts w:ascii="宋体" w:hAnsi="宋体"/>
                <w:sz w:val="24"/>
                <w:szCs w:val="24"/>
              </w:rPr>
            </w:pPr>
            <w:r>
              <w:rPr>
                <w:rFonts w:hint="eastAsia" w:ascii="宋体" w:hAnsi="宋体"/>
                <w:sz w:val="24"/>
                <w:szCs w:val="24"/>
              </w:rPr>
              <w:t>10.9</w:t>
            </w:r>
          </w:p>
        </w:tc>
        <w:tc>
          <w:tcPr>
            <w:tcW w:w="1651" w:type="dxa"/>
            <w:noWrap w:val="0"/>
            <w:vAlign w:val="center"/>
          </w:tcPr>
          <w:p w14:paraId="263FBB7B">
            <w:pPr>
              <w:jc w:val="center"/>
              <w:rPr>
                <w:rFonts w:ascii="宋体" w:hAnsi="宋体"/>
                <w:sz w:val="24"/>
                <w:szCs w:val="24"/>
              </w:rPr>
            </w:pPr>
            <w:r>
              <w:rPr>
                <w:rFonts w:hint="eastAsia" w:ascii="宋体" w:hAnsi="宋体"/>
                <w:sz w:val="24"/>
                <w:szCs w:val="24"/>
              </w:rPr>
              <w:t>2.2</w:t>
            </w:r>
          </w:p>
        </w:tc>
        <w:tc>
          <w:tcPr>
            <w:tcW w:w="1255" w:type="dxa"/>
            <w:noWrap w:val="0"/>
            <w:vAlign w:val="center"/>
          </w:tcPr>
          <w:p w14:paraId="32AB9D5C">
            <w:pPr>
              <w:jc w:val="center"/>
              <w:rPr>
                <w:rFonts w:ascii="宋体" w:hAnsi="宋体"/>
                <w:sz w:val="24"/>
                <w:szCs w:val="24"/>
              </w:rPr>
            </w:pPr>
            <w:r>
              <w:rPr>
                <w:rFonts w:hint="eastAsia" w:ascii="宋体" w:hAnsi="宋体"/>
                <w:sz w:val="24"/>
                <w:szCs w:val="24"/>
              </w:rPr>
              <w:t>20.2%</w:t>
            </w:r>
          </w:p>
        </w:tc>
        <w:tc>
          <w:tcPr>
            <w:tcW w:w="1255" w:type="dxa"/>
            <w:noWrap w:val="0"/>
            <w:vAlign w:val="center"/>
          </w:tcPr>
          <w:p w14:paraId="5D3974BB">
            <w:pPr>
              <w:jc w:val="center"/>
              <w:rPr>
                <w:rFonts w:ascii="宋体" w:hAnsi="宋体"/>
                <w:sz w:val="24"/>
                <w:szCs w:val="24"/>
              </w:rPr>
            </w:pPr>
          </w:p>
        </w:tc>
      </w:tr>
      <w:tr w14:paraId="039B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20C7272D">
            <w:pPr>
              <w:spacing w:line="260" w:lineRule="exact"/>
              <w:jc w:val="center"/>
              <w:rPr>
                <w:rFonts w:hint="eastAsia" w:ascii="宋体" w:hAnsi="宋体"/>
                <w:szCs w:val="21"/>
              </w:rPr>
            </w:pPr>
            <w:r>
              <w:t>中国邮政集团有限公司南通市分公司</w:t>
            </w:r>
          </w:p>
        </w:tc>
        <w:tc>
          <w:tcPr>
            <w:tcW w:w="1658" w:type="dxa"/>
            <w:noWrap w:val="0"/>
            <w:vAlign w:val="center"/>
          </w:tcPr>
          <w:p w14:paraId="136ABD0E">
            <w:pPr>
              <w:spacing w:line="260" w:lineRule="exact"/>
              <w:jc w:val="center"/>
              <w:rPr>
                <w:rFonts w:hint="eastAsia" w:ascii="宋体" w:hAnsi="宋体"/>
                <w:szCs w:val="21"/>
              </w:rPr>
            </w:pPr>
            <w:r>
              <w:t>320600AAC0021</w:t>
            </w:r>
          </w:p>
        </w:tc>
        <w:tc>
          <w:tcPr>
            <w:tcW w:w="2231" w:type="dxa"/>
            <w:noWrap w:val="0"/>
            <w:vAlign w:val="center"/>
          </w:tcPr>
          <w:p w14:paraId="18EDCCD5">
            <w:pPr>
              <w:spacing w:line="260" w:lineRule="exact"/>
              <w:jc w:val="center"/>
            </w:pPr>
            <w:r>
              <w:rPr>
                <w:rFonts w:hint="eastAsia"/>
              </w:rPr>
              <w:t>规模发卡企业、20%</w:t>
            </w:r>
          </w:p>
        </w:tc>
        <w:tc>
          <w:tcPr>
            <w:tcW w:w="1614" w:type="dxa"/>
            <w:noWrap w:val="0"/>
            <w:vAlign w:val="center"/>
          </w:tcPr>
          <w:p w14:paraId="6AC8F606">
            <w:pPr>
              <w:spacing w:line="260" w:lineRule="exact"/>
              <w:jc w:val="center"/>
            </w:pPr>
            <w:r>
              <w:rPr>
                <w:rFonts w:hint="eastAsia"/>
              </w:rPr>
              <w:t>南通市商务局</w:t>
            </w:r>
          </w:p>
        </w:tc>
        <w:tc>
          <w:tcPr>
            <w:tcW w:w="1255" w:type="dxa"/>
            <w:noWrap w:val="0"/>
            <w:vAlign w:val="center"/>
          </w:tcPr>
          <w:p w14:paraId="3D36C82F">
            <w:pPr>
              <w:spacing w:line="260" w:lineRule="exact"/>
              <w:jc w:val="center"/>
              <w:rPr>
                <w:rFonts w:hint="eastAsia"/>
              </w:rPr>
            </w:pPr>
            <w:r>
              <w:rPr>
                <w:rFonts w:hint="eastAsia"/>
              </w:rPr>
              <w:t>保险</w:t>
            </w:r>
          </w:p>
        </w:tc>
        <w:tc>
          <w:tcPr>
            <w:tcW w:w="1077" w:type="dxa"/>
            <w:noWrap w:val="0"/>
            <w:vAlign w:val="center"/>
          </w:tcPr>
          <w:p w14:paraId="2B61D247">
            <w:pPr>
              <w:spacing w:line="260" w:lineRule="exact"/>
              <w:jc w:val="center"/>
              <w:rPr>
                <w:rFonts w:hint="eastAsia"/>
              </w:rPr>
            </w:pPr>
            <w:r>
              <w:rPr>
                <w:rFonts w:hint="eastAsia"/>
              </w:rPr>
              <w:t>紫金</w:t>
            </w:r>
          </w:p>
        </w:tc>
        <w:tc>
          <w:tcPr>
            <w:tcW w:w="1398" w:type="dxa"/>
            <w:noWrap w:val="0"/>
            <w:vAlign w:val="center"/>
          </w:tcPr>
          <w:p w14:paraId="178B2EB8">
            <w:pPr>
              <w:jc w:val="center"/>
              <w:rPr>
                <w:rFonts w:ascii="宋体" w:hAnsi="宋体"/>
                <w:sz w:val="24"/>
                <w:szCs w:val="24"/>
              </w:rPr>
            </w:pPr>
            <w:r>
              <w:rPr>
                <w:rFonts w:hint="eastAsia" w:ascii="宋体" w:hAnsi="宋体"/>
                <w:sz w:val="24"/>
                <w:szCs w:val="24"/>
              </w:rPr>
              <w:t>320.0</w:t>
            </w:r>
          </w:p>
        </w:tc>
        <w:tc>
          <w:tcPr>
            <w:tcW w:w="1651" w:type="dxa"/>
            <w:noWrap w:val="0"/>
            <w:vAlign w:val="center"/>
          </w:tcPr>
          <w:p w14:paraId="38D2E89F">
            <w:pPr>
              <w:jc w:val="center"/>
              <w:rPr>
                <w:rFonts w:ascii="宋体" w:hAnsi="宋体"/>
                <w:sz w:val="24"/>
                <w:szCs w:val="24"/>
              </w:rPr>
            </w:pPr>
            <w:r>
              <w:rPr>
                <w:rFonts w:hint="eastAsia" w:ascii="宋体" w:hAnsi="宋体"/>
                <w:sz w:val="24"/>
                <w:szCs w:val="24"/>
              </w:rPr>
              <w:t>200.0</w:t>
            </w:r>
          </w:p>
        </w:tc>
        <w:tc>
          <w:tcPr>
            <w:tcW w:w="1255" w:type="dxa"/>
            <w:noWrap w:val="0"/>
            <w:vAlign w:val="center"/>
          </w:tcPr>
          <w:p w14:paraId="64CE51F2">
            <w:pPr>
              <w:jc w:val="center"/>
              <w:rPr>
                <w:rFonts w:ascii="宋体" w:hAnsi="宋体"/>
                <w:sz w:val="24"/>
                <w:szCs w:val="24"/>
              </w:rPr>
            </w:pPr>
            <w:r>
              <w:rPr>
                <w:rFonts w:hint="eastAsia" w:ascii="宋体" w:hAnsi="宋体"/>
                <w:sz w:val="24"/>
                <w:szCs w:val="24"/>
              </w:rPr>
              <w:t>62.5%</w:t>
            </w:r>
          </w:p>
        </w:tc>
        <w:tc>
          <w:tcPr>
            <w:tcW w:w="1255" w:type="dxa"/>
            <w:noWrap w:val="0"/>
            <w:vAlign w:val="center"/>
          </w:tcPr>
          <w:p w14:paraId="4515F76F">
            <w:pPr>
              <w:jc w:val="center"/>
              <w:rPr>
                <w:rFonts w:ascii="宋体" w:hAnsi="宋体"/>
                <w:sz w:val="24"/>
                <w:szCs w:val="24"/>
              </w:rPr>
            </w:pPr>
          </w:p>
        </w:tc>
      </w:tr>
      <w:tr w14:paraId="18D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71" w:type="dxa"/>
            <w:gridSpan w:val="6"/>
            <w:noWrap w:val="0"/>
            <w:vAlign w:val="center"/>
          </w:tcPr>
          <w:p w14:paraId="622EE863">
            <w:pPr>
              <w:spacing w:line="260" w:lineRule="exact"/>
              <w:jc w:val="center"/>
              <w:rPr>
                <w:rFonts w:hint="eastAsia"/>
              </w:rPr>
            </w:pPr>
            <w:r>
              <w:rPr>
                <w:rFonts w:hint="eastAsia" w:ascii="宋体" w:hAnsi="宋体"/>
                <w:szCs w:val="21"/>
              </w:rPr>
              <w:t>累计金额</w:t>
            </w:r>
          </w:p>
        </w:tc>
        <w:tc>
          <w:tcPr>
            <w:tcW w:w="1398" w:type="dxa"/>
            <w:noWrap w:val="0"/>
            <w:vAlign w:val="center"/>
          </w:tcPr>
          <w:p w14:paraId="760831F8">
            <w:pPr>
              <w:jc w:val="center"/>
              <w:rPr>
                <w:rFonts w:ascii="宋体" w:hAnsi="宋体"/>
                <w:sz w:val="24"/>
                <w:szCs w:val="24"/>
              </w:rPr>
            </w:pPr>
            <w:r>
              <w:rPr>
                <w:rFonts w:hint="eastAsia" w:ascii="宋体" w:hAnsi="宋体"/>
                <w:sz w:val="24"/>
                <w:szCs w:val="24"/>
              </w:rPr>
              <w:t>1980.5</w:t>
            </w:r>
          </w:p>
        </w:tc>
        <w:tc>
          <w:tcPr>
            <w:tcW w:w="1651" w:type="dxa"/>
            <w:noWrap w:val="0"/>
            <w:vAlign w:val="center"/>
          </w:tcPr>
          <w:p w14:paraId="43D6C42F">
            <w:pPr>
              <w:jc w:val="center"/>
              <w:rPr>
                <w:rFonts w:ascii="宋体" w:hAnsi="宋体"/>
                <w:sz w:val="24"/>
                <w:szCs w:val="24"/>
              </w:rPr>
            </w:pPr>
            <w:r>
              <w:rPr>
                <w:rFonts w:hint="eastAsia" w:ascii="宋体" w:hAnsi="宋体"/>
                <w:sz w:val="24"/>
                <w:szCs w:val="24"/>
              </w:rPr>
              <w:t>730.2</w:t>
            </w:r>
          </w:p>
        </w:tc>
        <w:tc>
          <w:tcPr>
            <w:tcW w:w="1255" w:type="dxa"/>
            <w:noWrap w:val="0"/>
            <w:vAlign w:val="center"/>
          </w:tcPr>
          <w:p w14:paraId="06EAA974">
            <w:pPr>
              <w:jc w:val="center"/>
              <w:rPr>
                <w:rFonts w:ascii="宋体" w:hAnsi="宋体"/>
                <w:sz w:val="24"/>
                <w:szCs w:val="24"/>
              </w:rPr>
            </w:pPr>
            <w:r>
              <w:rPr>
                <w:rFonts w:hint="eastAsia" w:ascii="宋体" w:hAnsi="宋体"/>
                <w:sz w:val="24"/>
                <w:szCs w:val="24"/>
              </w:rPr>
              <w:t>36.9%</w:t>
            </w:r>
          </w:p>
        </w:tc>
        <w:tc>
          <w:tcPr>
            <w:tcW w:w="1255" w:type="dxa"/>
            <w:noWrap w:val="0"/>
            <w:vAlign w:val="center"/>
          </w:tcPr>
          <w:p w14:paraId="6409BE18">
            <w:pPr>
              <w:spacing w:line="260" w:lineRule="exact"/>
              <w:jc w:val="center"/>
              <w:rPr>
                <w:rFonts w:ascii="宋体" w:hAnsi="宋体"/>
                <w:sz w:val="24"/>
                <w:szCs w:val="24"/>
              </w:rPr>
            </w:pPr>
          </w:p>
        </w:tc>
        <w:tc>
          <w:tcPr>
            <w:tcW w:w="4620" w:type="dxa"/>
            <w:tcBorders>
              <w:top w:val="nil"/>
              <w:bottom w:val="nil"/>
            </w:tcBorders>
            <w:noWrap w:val="0"/>
            <w:vAlign w:val="top"/>
          </w:tcPr>
          <w:p w14:paraId="05CC5A51">
            <w:pPr>
              <w:widowControl/>
              <w:jc w:val="left"/>
              <w:rPr>
                <w:rFonts w:ascii="宋体" w:hAnsi="宋体"/>
                <w:sz w:val="24"/>
                <w:szCs w:val="24"/>
              </w:rPr>
            </w:pPr>
          </w:p>
        </w:tc>
        <w:tc>
          <w:tcPr>
            <w:tcW w:w="1540" w:type="dxa"/>
            <w:noWrap w:val="0"/>
            <w:vAlign w:val="center"/>
          </w:tcPr>
          <w:p w14:paraId="5F8E728D">
            <w:pPr>
              <w:jc w:val="center"/>
              <w:rPr>
                <w:rFonts w:ascii="宋体" w:hAnsi="宋体"/>
                <w:sz w:val="24"/>
                <w:szCs w:val="24"/>
              </w:rPr>
            </w:pPr>
          </w:p>
        </w:tc>
        <w:tc>
          <w:tcPr>
            <w:tcW w:w="1255" w:type="dxa"/>
            <w:noWrap w:val="0"/>
            <w:vAlign w:val="center"/>
          </w:tcPr>
          <w:p w14:paraId="3E445CE0">
            <w:pPr>
              <w:jc w:val="center"/>
              <w:rPr>
                <w:rFonts w:ascii="宋体" w:hAnsi="宋体"/>
                <w:sz w:val="24"/>
                <w:szCs w:val="24"/>
              </w:rPr>
            </w:pPr>
          </w:p>
        </w:tc>
        <w:tc>
          <w:tcPr>
            <w:tcW w:w="1255" w:type="dxa"/>
            <w:noWrap w:val="0"/>
            <w:vAlign w:val="center"/>
          </w:tcPr>
          <w:p w14:paraId="66FEF7AA">
            <w:pPr>
              <w:jc w:val="center"/>
              <w:rPr>
                <w:rFonts w:ascii="宋体" w:hAnsi="宋体"/>
                <w:sz w:val="24"/>
                <w:szCs w:val="24"/>
              </w:rPr>
            </w:pPr>
          </w:p>
        </w:tc>
      </w:tr>
    </w:tbl>
    <w:p w14:paraId="08832C70">
      <w:pPr>
        <w:rPr>
          <w:rFonts w:hint="eastAsia" w:ascii="宋体" w:hAnsi="宋体"/>
          <w:szCs w:val="21"/>
        </w:rPr>
      </w:pPr>
    </w:p>
    <w:p w14:paraId="060A8DE3"/>
    <w:sectPr>
      <w:pgSz w:w="16838" w:h="11906" w:orient="landscape"/>
      <w:pgMar w:top="851" w:right="1588" w:bottom="851" w:left="1588" w:header="170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TkxYWFlMWZhM2QxOWViYmE1Y2Y2OGIyZDZlNTQifQ=="/>
  </w:docVars>
  <w:rsids>
    <w:rsidRoot w:val="5019096A"/>
    <w:rsid w:val="5019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2024-10-24T03:09:00Z</dcterms:created>
  <dc:creator>Only Myself</dc:creator>
  <cp:lastModifiedBy>Only Myself</cp:lastModifiedBy>
  <dcterms:modified xsi:type="dcterms:W3CDTF">2024-10-24T03:10:05Z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FDDBDDEDE5F14C469A76028D9085469A_11</vt:lpwstr>
  </property>
</Properties>
</file>