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585" w:firstLineChars="202"/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</w:pPr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南通市商务局招商图谱建设项目需求</w:t>
      </w:r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val="en-US" w:eastAsia="zh-CN"/>
        </w:rPr>
        <w:t>及</w:t>
      </w:r>
      <w:r>
        <w:rPr>
          <w:rStyle w:val="4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评审评分项</w:t>
      </w:r>
    </w:p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4"/>
          <w:rFonts w:hint="default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default" w:eastAsia="新宋体" w:cs="Calibri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新宋体" w:cs="Calibri"/>
          <w:b/>
          <w:color w:val="auto"/>
          <w:sz w:val="24"/>
          <w:szCs w:val="24"/>
          <w:highlight w:val="none"/>
          <w:lang w:val="en-US" w:eastAsia="zh-CN"/>
        </w:rPr>
        <w:t>一、项目需求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深入贯彻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市委、市政府关于深入开展“招商引资质效提升年”活动的部署要求，推动招商引资工作质效提升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围绕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南通市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六大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主导产业海外招商编制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图谱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为全市六大主导产业海外招商工作提供抓手和指引。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编制具体要求如下：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结合南通市“船舶海工、高端纺织、新材料、新一代信息技术、高端装备、新能源”六大主导产业发展形势，综合研判提出南通市海外重点招商细分产业领域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针对南通市海外招商重点领域，进行系统性产业研究，陈述产业定义、内涵，解析产业链全景结构，研判产业招商趋势与潜在招商机遇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结合南通市海外招商重点细分产业全球分布格局，以企业主体数据为支撑，研判筛选出南通市海外招商行动的主要国家和地区，绘制南通市海外招商行动路线图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围绕南通市海外招商行动重点产业和重点国家及地区，系统研究并搭建“南通市海外招商行动企业数据库”，以满足南通市海外招商行动的短期行动和长期持续招商需要。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二、付款方式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签约后支付成交价的20%，成果交付后支付成交价的50%，成果交付一周后支付成交价的30%。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三、合同履行期限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80" w:firstLineChars="200"/>
        <w:rPr>
          <w:rStyle w:val="4"/>
          <w:rFonts w:hint="eastAsia" w:ascii="宋体" w:hAnsi="宋体" w:eastAsia="宋体" w:cs="宋体"/>
          <w:color w:val="auto"/>
          <w:sz w:val="26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在合同签订后10个日历天内完成全部成果的交付。</w:t>
      </w:r>
    </w:p>
    <w:p>
      <w:pPr>
        <w:snapToGrid w:val="0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、评审评分项</w:t>
      </w:r>
    </w:p>
    <w:p>
      <w:pPr>
        <w:snapToGrid w:val="0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（一）技术分：（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85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分）</w:t>
      </w:r>
    </w:p>
    <w:tbl>
      <w:tblPr>
        <w:tblStyle w:val="2"/>
        <w:tblpPr w:leftFromText="180" w:rightFromText="180" w:vertAnchor="text" w:horzAnchor="page" w:tblpXSpec="center" w:tblpY="396"/>
        <w:tblOverlap w:val="never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业绩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80" w:lineRule="exact"/>
              <w:ind w:firstLine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供应商提供自2022年1月1日以来（以合同签订时间为准）的</w:t>
            </w:r>
            <w:r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招商引资相关研究咨询服务项目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，每有一个得5分，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最高得10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分。</w:t>
            </w:r>
          </w:p>
          <w:bookmarkEnd w:id="0"/>
          <w:p>
            <w:pPr>
              <w:widowControl/>
              <w:autoSpaceDE w:val="0"/>
              <w:autoSpaceDN w:val="0"/>
              <w:adjustRightInd w:val="0"/>
              <w:snapToGrid w:val="0"/>
              <w:spacing w:line="480" w:lineRule="exact"/>
              <w:ind w:firstLine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注：须提供合同复印件并加盖公章，未提供不得分。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项目理解评价（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结合本项目特点，提出对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项目理解和方案，包括但不限于项目需求分析、整体部署方案等。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方案细致全面完整、合理、完全 响应需求、技术可行性强的得1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方案较为完整、基本响应需求、技术可行性较强的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方案不完整、响应度低、技术可行性较低的得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实施方案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15分）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能提供完整的实施计划、组织方案、进度安排等，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方案的实施计划、组织方案、进度安排等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方案完整、可操作性强得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方案稍有欠缺的得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方案一般的得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未提供方案的不得分。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服务方案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20分）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根据供应商对本项目的理解程度进行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打分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对项目非常了解和熟悉，对本项目的重点难点分析到位，提出的应对措施和合理化建议方案完善，可行性、针对性非常强的，得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对项目比较了解和熟悉，对本项目的重点难点分析比较到位，提出的应对措施和合理化建议方案较完善，可行性、针对性较强的，得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对项目了解熟悉度一般，对本项目的重点难点分析准确度一般，提出的应对措施和合理化建议方案完善程度一般，可行性、针对性一般的，得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对项目不太了解和熟悉，对本项目的重点难点分析不到位，提出的应对措施和合理化建议方案较不够完善，可行性、针对性不强的，得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</w:rPr>
              <w:t>未提供方案的不得分。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6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阶段性成果展示（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25分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7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供应商在六大主导产业（船舶海工、高端纺织、新材料、新一代信息技术、高端装备、新能源）中任选一个产业，提前准备一份选中产业的重点海外企业信息汇总报告供现场展示，根据报告质量进行打分：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内容详实、针对性强、涉及国家或地区多、层次清晰的，得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内容较详实、针对性较强、涉及国家或地区较多、层次较清晰的，得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内容丰富度一般、针对性一般、涉及国家或地区适中、有层次分别的，得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内容不够丰富、针对性较差、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涉及国家或地区较少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、层次较模糊的，得10分；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内容较单薄、针对性弱、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涉及国家或地区单一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、层次模糊的，得5分；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未提供报告的不得分。</w:t>
            </w:r>
          </w:p>
        </w:tc>
      </w:tr>
    </w:tbl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</w:p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（二）报价响应评分：（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Style w:val="4"/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分）</w:t>
      </w:r>
    </w:p>
    <w:p>
      <w:pPr>
        <w:snapToGrid w:val="0"/>
        <w:ind w:firstLine="487" w:firstLineChars="202"/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1.</w:t>
      </w:r>
      <w:r>
        <w:rPr>
          <w:rStyle w:val="4"/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本项目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  <w:t>最高限价：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single"/>
          <w:lang w:val="en-US" w:eastAsia="zh-CN"/>
        </w:rPr>
        <w:t>10万元；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超过限价作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无效投标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处理。</w:t>
      </w:r>
    </w:p>
    <w:p>
      <w:pPr>
        <w:snapToGrid w:val="0"/>
        <w:ind w:firstLine="484" w:firstLineChars="202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2.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满足招标文件要求且投标报价最低的报价为评标基准价，其报价响应得分为满分。</w:t>
      </w:r>
    </w:p>
    <w:p>
      <w:pPr>
        <w:snapToGrid w:val="0"/>
        <w:ind w:firstLine="484" w:firstLineChars="202"/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3.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其他投标人的报价响应得分分别按照下列公式计算：</w:t>
      </w:r>
    </w:p>
    <w:p>
      <w:pPr>
        <w:snapToGrid w:val="0"/>
        <w:ind w:firstLine="484" w:firstLineChars="202"/>
        <w:rPr>
          <w:color w:val="auto"/>
          <w:highlight w:val="none"/>
        </w:rPr>
      </w:pP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报价响应得分 =（评标基准价/投标报价）×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Style w:val="4"/>
          <w:rFonts w:hint="eastAsia" w:ascii="宋体" w:hAnsi="宋体" w:eastAsia="宋体" w:cs="宋体"/>
          <w:color w:val="auto"/>
          <w:sz w:val="24"/>
          <w:szCs w:val="24"/>
          <w:highlight w:val="none"/>
        </w:rPr>
        <w:t>%×100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5AA5"/>
    <w:rsid w:val="009476F7"/>
    <w:rsid w:val="01705C99"/>
    <w:rsid w:val="04723F17"/>
    <w:rsid w:val="054F3F56"/>
    <w:rsid w:val="098E7907"/>
    <w:rsid w:val="0A9236AF"/>
    <w:rsid w:val="0C094B75"/>
    <w:rsid w:val="0FC26D88"/>
    <w:rsid w:val="100828AD"/>
    <w:rsid w:val="147E133E"/>
    <w:rsid w:val="167421DE"/>
    <w:rsid w:val="187675E6"/>
    <w:rsid w:val="1946255C"/>
    <w:rsid w:val="1AE42514"/>
    <w:rsid w:val="1B1E6DD1"/>
    <w:rsid w:val="1B9362C3"/>
    <w:rsid w:val="21740BCE"/>
    <w:rsid w:val="2418219D"/>
    <w:rsid w:val="266D1322"/>
    <w:rsid w:val="27026E1B"/>
    <w:rsid w:val="2A790643"/>
    <w:rsid w:val="32047E1A"/>
    <w:rsid w:val="32F35AA5"/>
    <w:rsid w:val="33B4507C"/>
    <w:rsid w:val="36BD095F"/>
    <w:rsid w:val="37FF0092"/>
    <w:rsid w:val="383B6F19"/>
    <w:rsid w:val="399E1B8D"/>
    <w:rsid w:val="417032FE"/>
    <w:rsid w:val="46541638"/>
    <w:rsid w:val="467B5DDC"/>
    <w:rsid w:val="4E3710B4"/>
    <w:rsid w:val="51937B70"/>
    <w:rsid w:val="51956720"/>
    <w:rsid w:val="522C70F0"/>
    <w:rsid w:val="5AB24ABD"/>
    <w:rsid w:val="656600F0"/>
    <w:rsid w:val="6FE611FF"/>
    <w:rsid w:val="737050DC"/>
    <w:rsid w:val="73BB0088"/>
    <w:rsid w:val="73D85F1B"/>
    <w:rsid w:val="73E90B13"/>
    <w:rsid w:val="77E30F59"/>
    <w:rsid w:val="7AA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BodyText1I2"/>
    <w:basedOn w:val="6"/>
    <w:qFormat/>
    <w:uiPriority w:val="0"/>
    <w:pPr>
      <w:ind w:firstLine="420" w:firstLineChars="200"/>
    </w:pPr>
  </w:style>
  <w:style w:type="paragraph" w:customStyle="1" w:styleId="6">
    <w:name w:val="BodyTextIndent"/>
    <w:basedOn w:val="1"/>
    <w:next w:val="7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customStyle="1" w:styleId="7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2025-03-26T01:46:00Z</dcterms:created>
  <dc:creator>L</dc:creator>
  <cp:lastModifiedBy>L</cp:lastModifiedBy>
  <dcterms:modified xsi:type="dcterms:W3CDTF">2025-04-07T02:37:34Z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2B638D2537124586A3CBB8DB6E4E3B4F</vt:lpwstr>
  </property>
</Properties>
</file>