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7E560">
      <w:pPr>
        <w:pStyle w:val="16"/>
        <w:spacing w:before="160" w:after="140" w:line="900" w:lineRule="exact"/>
        <w:rPr>
          <w:rFonts w:hint="eastAsia" w:ascii="方正小标宋_GBK" w:eastAsia="方正小标宋_GBK"/>
          <w:spacing w:val="0"/>
          <w:sz w:val="100"/>
          <w:szCs w:val="100"/>
        </w:rPr>
      </w:pPr>
      <w:r>
        <w:rPr>
          <w:rFonts w:hint="eastAsia" w:ascii="方正小标宋_GBK" w:eastAsia="方正小标宋_GBK"/>
          <w:spacing w:val="0"/>
          <w:sz w:val="100"/>
          <w:szCs w:val="100"/>
        </w:rPr>
        <w:t>南通市商务局</w:t>
      </w:r>
    </w:p>
    <w:p w14:paraId="06EAEB99">
      <w:pPr>
        <w:pStyle w:val="17"/>
        <w:snapToGrid w:val="0"/>
        <w:spacing w:after="120" w:line="120" w:lineRule="atLeast"/>
        <w:ind w:left="-57" w:right="-57"/>
        <w:rPr>
          <w:rFonts w:ascii="宋体"/>
        </w:rPr>
      </w:pPr>
      <w:bookmarkStart w:id="0" w:name="_988455212"/>
      <w:bookmarkEnd w:id="0"/>
      <w:bookmarkStart w:id="1" w:name="_988455626"/>
      <w:bookmarkEnd w:id="1"/>
      <w:bookmarkStart w:id="2" w:name="_1081335927"/>
      <w:bookmarkEnd w:id="2"/>
      <w:bookmarkStart w:id="3" w:name="_1081336902"/>
      <w:bookmarkEnd w:id="3"/>
      <w:bookmarkStart w:id="4" w:name="_1081336766"/>
      <w:bookmarkEnd w:id="4"/>
      <w:bookmarkStart w:id="5" w:name="_1081336878"/>
      <w:bookmarkEnd w:id="5"/>
      <w:bookmarkStart w:id="6" w:name="_988455526"/>
      <w:bookmarkEnd w:id="6"/>
      <w:bookmarkStart w:id="7" w:name="_1081336936"/>
      <w:bookmarkEnd w:id="7"/>
      <w:bookmarkStart w:id="8" w:name="_1081336852"/>
      <w:bookmarkEnd w:id="8"/>
      <w:bookmarkStart w:id="9" w:name="_988455157"/>
      <w:bookmarkEnd w:id="9"/>
      <w:bookmarkStart w:id="10" w:name="_988455233"/>
      <w:bookmarkEnd w:id="10"/>
      <w:bookmarkStart w:id="11" w:name="_988455599"/>
      <w:bookmarkEnd w:id="11"/>
      <w:bookmarkStart w:id="12" w:name="_988455673"/>
      <w:bookmarkEnd w:id="12"/>
      <w:bookmarkStart w:id="13" w:name="_1081336172"/>
      <w:bookmarkEnd w:id="13"/>
      <w:bookmarkStart w:id="14" w:name="_988456248"/>
      <w:bookmarkEnd w:id="14"/>
      <w:bookmarkStart w:id="15" w:name="_988455575"/>
      <w:bookmarkEnd w:id="15"/>
      <w:bookmarkStart w:id="16" w:name="_988455645"/>
      <w:bookmarkEnd w:id="16"/>
      <w:bookmarkStart w:id="17" w:name="_1081336197"/>
      <w:bookmarkEnd w:id="17"/>
      <w:bookmarkStart w:id="18" w:name="_1081336779"/>
      <w:bookmarkEnd w:id="18"/>
      <w:r>
        <w:rPr>
          <w:rFonts w:ascii="宋体" w:hAnsi="汉鼎简仿宋"/>
        </w:rPr>
        <w:object>
          <v:shape id="_x0000_i1026" o:spt="75" type="#_x0000_t75" style="height:6pt;width:445.15pt;" o:ole="t" fillcolor="#6D6D6D" filled="f" stroked="f" coordsize="21600,21600">
            <v:path/>
            <v:fill on="f" alignshape="1" focussize="0,0"/>
            <v:stroke on="f"/>
            <v:imagedata r:id="rId11" o:title=""/>
            <o:lock v:ext="edit" aspectratio="f"/>
            <w10:wrap type="none"/>
            <w10:anchorlock/>
          </v:shape>
          <o:OLEObject Type="Embed" ProgID="Word.Picture.8" ShapeID="_x0000_i1026" DrawAspect="Content" ObjectID="_1468075726" r:id="rId10">
            <o:LockedField>false</o:LockedField>
          </o:OLEObject>
        </w:object>
      </w:r>
    </w:p>
    <w:p w14:paraId="30FA7909">
      <w:pPr>
        <w:keepNext w:val="0"/>
        <w:keepLines w:val="0"/>
        <w:pageBreakBefore w:val="0"/>
        <w:kinsoku/>
        <w:wordWrap/>
        <w:overflowPunct/>
        <w:topLinePunct w:val="0"/>
        <w:bidi w:val="0"/>
        <w:adjustRightInd/>
        <w:spacing w:line="560" w:lineRule="exact"/>
        <w:ind w:firstLine="0"/>
        <w:textAlignment w:val="auto"/>
        <w:rPr>
          <w:rFonts w:hint="eastAsia"/>
          <w:b/>
          <w:sz w:val="44"/>
          <w:szCs w:val="44"/>
          <w:lang w:eastAsia="zh-CN"/>
        </w:rPr>
      </w:pPr>
    </w:p>
    <w:p w14:paraId="7AE085DA">
      <w:pPr>
        <w:keepNext w:val="0"/>
        <w:keepLines w:val="0"/>
        <w:pageBreakBefore w:val="0"/>
        <w:widowControl/>
        <w:kinsoku/>
        <w:wordWrap/>
        <w:overflowPunct/>
        <w:topLinePunct w:val="0"/>
        <w:autoSpaceDE/>
        <w:autoSpaceDN/>
        <w:bidi w:val="0"/>
        <w:adjustRightInd/>
        <w:snapToGrid/>
        <w:spacing w:line="560" w:lineRule="exact"/>
        <w:ind w:left="0" w:leftChars="0" w:firstLine="316" w:firstLineChars="100"/>
        <w:textAlignment w:val="auto"/>
        <w:rPr>
          <w:rFonts w:hint="eastAsia" w:ascii="方正楷体_GBK" w:hAnsi="方正楷体_GBK" w:eastAsia="方正楷体_GBK" w:cs="方正楷体_GBK"/>
          <w:sz w:val="32"/>
          <w:szCs w:val="32"/>
          <w:lang w:val="en-US" w:eastAsia="zh-CN"/>
        </w:rPr>
      </w:pPr>
      <w:r>
        <w:rPr>
          <w:rFonts w:hint="default" w:ascii="Times New Roman" w:hAnsi="Times New Roman" w:eastAsia="方正仿宋_GBK" w:cs="方正仿宋_GBK"/>
          <w:sz w:val="32"/>
          <w:szCs w:val="32"/>
          <w:lang w:eastAsia="zh-CN"/>
        </w:rPr>
        <w:t>通商复字</w:t>
      </w:r>
      <w:r>
        <w:rPr>
          <w:rFonts w:hint="default" w:ascii="Times New Roman" w:hAnsi="Times New Roman" w:eastAsia="方正仿宋_GBK" w:cs="方正仿宋_GBK"/>
          <w:sz w:val="32"/>
          <w:szCs w:val="32"/>
        </w:rPr>
        <w:t>﹝2024﹞</w:t>
      </w:r>
      <w:r>
        <w:rPr>
          <w:rFonts w:hint="eastAsia" w:ascii="Times New Roman" w:hAnsi="Times New Roman" w:cs="方正仿宋_GBK"/>
          <w:sz w:val="32"/>
          <w:szCs w:val="32"/>
          <w:lang w:val="en-US" w:eastAsia="zh-CN"/>
        </w:rPr>
        <w:t>70</w:t>
      </w:r>
      <w:r>
        <w:rPr>
          <w:rFonts w:hint="default" w:ascii="Times New Roman" w:hAnsi="Times New Roman" w:eastAsia="方正仿宋_GBK" w:cs="方正仿宋_GBK"/>
          <w:sz w:val="32"/>
          <w:szCs w:val="32"/>
        </w:rPr>
        <w:t xml:space="preserve">号         </w:t>
      </w:r>
      <w:r>
        <w:rPr>
          <w:rFonts w:hint="eastAsia" w:ascii="Times New Roman" w:hAnsi="Times New Roman" w:cs="方正仿宋_GBK"/>
          <w:sz w:val="32"/>
          <w:szCs w:val="32"/>
          <w:lang w:val="en-US" w:eastAsia="zh-CN"/>
        </w:rPr>
        <w:t xml:space="preserve">      </w:t>
      </w:r>
      <w:r>
        <w:rPr>
          <w:rFonts w:hint="default" w:ascii="Times New Roman" w:hAnsi="Times New Roman" w:eastAsia="方正仿宋_GBK" w:cs="方正仿宋_GBK"/>
          <w:sz w:val="32"/>
          <w:szCs w:val="32"/>
        </w:rPr>
        <w:t xml:space="preserve">  签发人：</w:t>
      </w:r>
      <w:r>
        <w:rPr>
          <w:rFonts w:hint="eastAsia" w:ascii="方正楷体_GBK" w:hAnsi="方正楷体_GBK" w:eastAsia="方正楷体_GBK" w:cs="方正楷体_GBK"/>
          <w:sz w:val="32"/>
          <w:szCs w:val="32"/>
          <w:lang w:eastAsia="zh-CN"/>
        </w:rPr>
        <w:t>高洪军</w:t>
      </w:r>
    </w:p>
    <w:p w14:paraId="3A3346E7">
      <w:pPr>
        <w:keepNext w:val="0"/>
        <w:keepLines w:val="0"/>
        <w:pageBreakBefore w:val="0"/>
        <w:kinsoku/>
        <w:wordWrap/>
        <w:overflowPunct/>
        <w:topLinePunct w:val="0"/>
        <w:autoSpaceDE/>
        <w:autoSpaceDN/>
        <w:bidi w:val="0"/>
        <w:adjustRightInd/>
        <w:snapToGrid/>
        <w:spacing w:line="560" w:lineRule="exact"/>
        <w:ind w:left="0" w:leftChars="0" w:right="1284" w:firstLine="0" w:firstLineChars="0"/>
        <w:textAlignment w:val="auto"/>
        <w:rPr>
          <w:rFonts w:ascii="Times New Roman" w:hAnsi="Times New Roman"/>
          <w:snapToGrid/>
          <w:sz w:val="32"/>
          <w:szCs w:val="32"/>
        </w:rPr>
      </w:pPr>
    </w:p>
    <w:p w14:paraId="7C544FAC">
      <w:pPr>
        <w:keepNext w:val="0"/>
        <w:keepLines w:val="0"/>
        <w:pageBreakBefore w:val="0"/>
        <w:widowControl w:val="0"/>
        <w:tabs>
          <w:tab w:val="left" w:pos="9193"/>
          <w:tab w:val="left" w:pos="9827"/>
        </w:tabs>
        <w:kinsoku/>
        <w:wordWrap/>
        <w:overflowPunct/>
        <w:topLinePunct w:val="0"/>
        <w:autoSpaceDE w:val="0"/>
        <w:autoSpaceDN w:val="0"/>
        <w:bidi w:val="0"/>
        <w:adjustRightInd/>
        <w:snapToGrid w:val="0"/>
        <w:spacing w:line="560" w:lineRule="exact"/>
        <w:ind w:left="0" w:leftChars="0" w:firstLine="0" w:firstLineChars="0"/>
        <w:jc w:val="center"/>
        <w:textAlignment w:val="auto"/>
        <w:rPr>
          <w:rFonts w:hint="eastAsia" w:ascii="Times New Roman" w:hAnsi="Times New Roman" w:eastAsia="方正小标宋_GBK" w:cs="Times New Roman"/>
          <w:kern w:val="0"/>
          <w:sz w:val="44"/>
          <w:szCs w:val="20"/>
          <w:lang w:eastAsia="zh-CN"/>
        </w:rPr>
      </w:pPr>
      <w:r>
        <w:rPr>
          <w:rFonts w:hint="default" w:ascii="Times New Roman" w:hAnsi="Times New Roman" w:eastAsia="方正小标宋_GBK" w:cs="Times New Roman"/>
          <w:kern w:val="0"/>
          <w:sz w:val="44"/>
          <w:szCs w:val="20"/>
        </w:rPr>
        <w:t>对市政协十三届三次会议第0244号提案的答复</w:t>
      </w:r>
    </w:p>
    <w:p w14:paraId="26E4A025">
      <w:pPr>
        <w:keepNext w:val="0"/>
        <w:keepLines w:val="0"/>
        <w:pageBreakBefore w:val="0"/>
        <w:widowControl w:val="0"/>
        <w:kinsoku/>
        <w:wordWrap/>
        <w:overflowPunct/>
        <w:topLinePunct w:val="0"/>
        <w:autoSpaceDE w:val="0"/>
        <w:autoSpaceDN w:val="0"/>
        <w:bidi w:val="0"/>
        <w:adjustRightInd/>
        <w:snapToGrid w:val="0"/>
        <w:spacing w:line="560" w:lineRule="exact"/>
        <w:ind w:left="0" w:leftChars="0" w:firstLine="0" w:firstLineChars="0"/>
        <w:textAlignment w:val="auto"/>
        <w:rPr>
          <w:rFonts w:hint="eastAsia" w:ascii="Times New Roman" w:hAnsi="Times New Roman" w:eastAsia="方正仿宋_GBK" w:cs="Times New Roman"/>
          <w:snapToGrid w:val="0"/>
          <w:color w:val="000000"/>
          <w:kern w:val="0"/>
          <w:sz w:val="32"/>
          <w:szCs w:val="32"/>
        </w:rPr>
      </w:pPr>
    </w:p>
    <w:p w14:paraId="434F5ADC">
      <w:pPr>
        <w:keepNext w:val="0"/>
        <w:keepLines w:val="0"/>
        <w:pageBreakBefore w:val="0"/>
        <w:widowControl w:val="0"/>
        <w:kinsoku/>
        <w:wordWrap/>
        <w:overflowPunct/>
        <w:topLinePunct w:val="0"/>
        <w:autoSpaceDE w:val="0"/>
        <w:autoSpaceDN w:val="0"/>
        <w:bidi w:val="0"/>
        <w:adjustRightInd/>
        <w:snapToGrid w:val="0"/>
        <w:spacing w:line="560" w:lineRule="exact"/>
        <w:ind w:left="0" w:leftChars="0" w:firstLine="0" w:firstLineChars="0"/>
        <w:textAlignment w:val="auto"/>
        <w:rPr>
          <w:rFonts w:ascii="Times New Roman" w:hAnsi="Times New Roman" w:eastAsia="方正仿宋_GBK" w:cs="Times New Roman"/>
          <w:snapToGrid w:val="0"/>
          <w:color w:val="000000"/>
          <w:kern w:val="0"/>
          <w:sz w:val="32"/>
          <w:szCs w:val="32"/>
        </w:rPr>
      </w:pPr>
      <w:r>
        <w:rPr>
          <w:rFonts w:hint="eastAsia" w:ascii="Times New Roman" w:hAnsi="Times New Roman" w:eastAsia="方正仿宋_GBK" w:cs="Times New Roman"/>
          <w:snapToGrid w:val="0"/>
          <w:color w:val="000000"/>
          <w:kern w:val="0"/>
          <w:sz w:val="32"/>
          <w:szCs w:val="32"/>
        </w:rPr>
        <w:t>钱凯委员：</w:t>
      </w:r>
    </w:p>
    <w:p w14:paraId="4FF27C4B">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hint="eastAsia" w:ascii="Times New Roman" w:hAnsi="Times New Roman" w:eastAsia="方正仿宋_GBK" w:cs="方正仿宋_GBK"/>
          <w:snapToGrid w:val="0"/>
          <w:color w:val="000000"/>
          <w:kern w:val="0"/>
          <w:sz w:val="32"/>
          <w:szCs w:val="32"/>
        </w:rPr>
      </w:pPr>
      <w:r>
        <w:rPr>
          <w:rFonts w:hint="eastAsia" w:ascii="Times New Roman" w:hAnsi="Times New Roman" w:eastAsia="方正仿宋_GBK" w:cs="方正仿宋_GBK"/>
          <w:snapToGrid w:val="0"/>
          <w:color w:val="000000"/>
          <w:kern w:val="0"/>
          <w:sz w:val="32"/>
          <w:szCs w:val="32"/>
        </w:rPr>
        <w:t>您提出的《</w:t>
      </w:r>
      <w:r>
        <w:rPr>
          <w:rFonts w:hint="eastAsia" w:ascii="Times New Roman" w:hAnsi="Times New Roman" w:eastAsia="方正仿宋_GBK" w:cs="方正仿宋_GBK"/>
          <w:kern w:val="0"/>
          <w:sz w:val="32"/>
          <w:szCs w:val="32"/>
        </w:rPr>
        <w:t>关于加大先进制造业链式招引的相关建议</w:t>
      </w:r>
      <w:r>
        <w:rPr>
          <w:rFonts w:hint="eastAsia" w:ascii="Times New Roman" w:hAnsi="Times New Roman" w:eastAsia="方正仿宋_GBK" w:cs="方正仿宋_GBK"/>
          <w:snapToGrid w:val="0"/>
          <w:color w:val="000000"/>
          <w:kern w:val="0"/>
          <w:sz w:val="32"/>
          <w:szCs w:val="32"/>
        </w:rPr>
        <w:t>》的提案收悉，现答复如下：</w:t>
      </w:r>
    </w:p>
    <w:p w14:paraId="77505BEF">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hint="eastAsia" w:ascii="Times New Roman" w:hAnsi="Times New Roman" w:eastAsia="方正仿宋_GBK" w:cs="方正仿宋_GBK"/>
          <w:snapToGrid w:val="0"/>
          <w:color w:val="000000"/>
          <w:kern w:val="0"/>
          <w:sz w:val="32"/>
          <w:szCs w:val="32"/>
        </w:rPr>
      </w:pPr>
      <w:r>
        <w:rPr>
          <w:rFonts w:hint="eastAsia" w:ascii="Times New Roman" w:hAnsi="Times New Roman" w:eastAsia="方正仿宋_GBK" w:cs="方正仿宋_GBK"/>
          <w:snapToGrid w:val="0"/>
          <w:color w:val="000000"/>
          <w:kern w:val="0"/>
          <w:sz w:val="32"/>
          <w:szCs w:val="32"/>
        </w:rPr>
        <w:t>该提案紧扣当前先进制造业发展热点，聚焦产业链延链补链、提高项目判断能力以及优化产业布局等重点问题，所提建议具有很强的建设性和参考价值。市领导提出：“要认真落实发展新质生产力的要求，围绕产业定位，优化完善招商图谱，策划招引一批产业层次高、创新能力强、带动潜力足的优质项目，为推动产业转型升级注入源头活水。要放大龙头企业、链主企业的聚合带动效应，开展产业链招商、上下游招商，引进一批配套性项目，促进上下游、大中小、产供销整体配套，辐射牵引优质项目聚‘链’成势。”为贯彻落实市委市政府决策部署，下阶段我市将多措并举，紧扣新质生产力的发展要求，锁定先进制造业关键环节，进一步推进链式招商，为高质量发展积蓄动能、增强后劲。</w:t>
      </w:r>
    </w:p>
    <w:p w14:paraId="1712D3F4">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ascii="Times New Roman" w:hAnsi="Times New Roman" w:eastAsia="方正黑体_GBK"/>
          <w:sz w:val="32"/>
          <w:szCs w:val="27"/>
        </w:rPr>
      </w:pPr>
      <w:r>
        <w:rPr>
          <w:rFonts w:hint="eastAsia" w:ascii="Times New Roman" w:hAnsi="Times New Roman" w:eastAsia="方正黑体_GBK"/>
          <w:sz w:val="32"/>
          <w:szCs w:val="27"/>
        </w:rPr>
        <w:t>一、牢牢把握新质生产力招商方向</w:t>
      </w:r>
    </w:p>
    <w:p w14:paraId="56129062">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hint="eastAsia" w:ascii="Times New Roman" w:hAnsi="Times New Roman" w:eastAsia="方正楷体_GBK" w:cs="方正楷体_GBK"/>
          <w:sz w:val="32"/>
          <w:szCs w:val="27"/>
        </w:rPr>
      </w:pPr>
      <w:r>
        <w:rPr>
          <w:rFonts w:hint="eastAsia" w:ascii="Times New Roman" w:hAnsi="Times New Roman" w:eastAsia="方正楷体_GBK" w:cs="方正楷体_GBK"/>
          <w:sz w:val="32"/>
          <w:szCs w:val="27"/>
        </w:rPr>
        <w:t>（一）聚焦传统产业，从推动产业高端化角度推进招商</w:t>
      </w:r>
    </w:p>
    <w:p w14:paraId="6A79B8EF">
      <w:pPr>
        <w:keepNext w:val="0"/>
        <w:keepLines w:val="0"/>
        <w:pageBreakBefore w:val="0"/>
        <w:widowControl w:val="0"/>
        <w:kinsoku/>
        <w:wordWrap/>
        <w:overflowPunct/>
        <w:topLinePunct w:val="0"/>
        <w:bidi w:val="0"/>
        <w:adjustRightInd/>
        <w:spacing w:line="560" w:lineRule="exact"/>
        <w:ind w:firstLine="632" w:firstLineChars="200"/>
        <w:textAlignment w:val="auto"/>
        <w:rPr>
          <w:rFonts w:hint="eastAsia" w:ascii="Times New Roman" w:hAnsi="Times New Roman" w:eastAsia="方正仿宋_GBK" w:cs="方正仿宋_GBK"/>
          <w:b/>
          <w:sz w:val="32"/>
          <w:szCs w:val="32"/>
        </w:rPr>
      </w:pPr>
      <w:r>
        <w:rPr>
          <w:rFonts w:hint="eastAsia" w:ascii="Times New Roman" w:hAnsi="Times New Roman" w:eastAsia="方正仿宋_GBK" w:cs="方正仿宋_GBK"/>
          <w:sz w:val="32"/>
          <w:szCs w:val="32"/>
        </w:rPr>
        <w:t>坚持“先立后破、破立并举”，推动船舶海工、高端纺织两大传统产业转型升级。聚焦本地重点链主企业，深入开展“服务企业大走访”，协调解决企业在通发展遇到的困难和问题，强化企业投资信心，引导企业增资扩股。同时，充分调动链主企业参与招商引资的积极性，与所在板块共同招引产业链上下游企业及关联企业落户，加快形成产业集群。以船舶海工产业为例，聚焦甲板机械、环保设备、动力系统、电气及自动化系统、通讯导航系统、舱室模块及设备等领域，招引核心配套企业落户；聚焦前沿船舶研发机构，推动其在南通设立分支机构。</w:t>
      </w:r>
    </w:p>
    <w:p w14:paraId="779B08B0">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hint="eastAsia" w:ascii="Times New Roman" w:hAnsi="Times New Roman" w:eastAsia="方正楷体_GBK" w:cs="方正楷体_GBK"/>
          <w:sz w:val="32"/>
          <w:szCs w:val="27"/>
        </w:rPr>
      </w:pPr>
      <w:r>
        <w:rPr>
          <w:rFonts w:hint="eastAsia" w:ascii="Times New Roman" w:hAnsi="Times New Roman" w:eastAsia="方正楷体_GBK" w:cs="方正楷体_GBK"/>
          <w:sz w:val="32"/>
          <w:szCs w:val="27"/>
        </w:rPr>
        <w:t>（二）聚焦高成长型产业，从推动延链优链角度推进招商</w:t>
      </w:r>
    </w:p>
    <w:p w14:paraId="5DEABE8C">
      <w:pPr>
        <w:keepNext w:val="0"/>
        <w:keepLines w:val="0"/>
        <w:pageBreakBefore w:val="0"/>
        <w:widowControl w:val="0"/>
        <w:kinsoku/>
        <w:wordWrap/>
        <w:overflowPunct/>
        <w:topLinePunct w:val="0"/>
        <w:bidi w:val="0"/>
        <w:adjustRightInd/>
        <w:spacing w:line="560" w:lineRule="exact"/>
        <w:ind w:firstLine="632"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重点围绕海洋产业、低空经济、算力经济等高成长型产业，全面梳理产业链、价值链和供应链，在重点发展的优势领域排出高科技企业、“专精特新”企业、行业隐形冠军企业以及优质外资企业清单，编制完善产业招商图谱，招引市场前景好、发展潜力大、科技含量高的项目落地。以低空经济为例，重点聚焦行业级、消费级无人飞行器、eVTOL整机，以及复合材料、电池、电机等核心零部件领域，招引制造和研发龙头企业落户。</w:t>
      </w:r>
    </w:p>
    <w:p w14:paraId="4C01CCE9">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hint="eastAsia" w:ascii="Times New Roman" w:hAnsi="Times New Roman" w:eastAsia="方正楷体_GBK" w:cs="方正楷体_GBK"/>
          <w:sz w:val="32"/>
          <w:szCs w:val="27"/>
        </w:rPr>
      </w:pPr>
      <w:r>
        <w:rPr>
          <w:rFonts w:hint="eastAsia" w:ascii="Times New Roman" w:hAnsi="Times New Roman" w:eastAsia="方正楷体_GBK" w:cs="方正楷体_GBK"/>
          <w:sz w:val="32"/>
          <w:szCs w:val="27"/>
        </w:rPr>
        <w:t>（三）聚焦战新产业，从企业成群、产业成链角度推进招商</w:t>
      </w:r>
    </w:p>
    <w:p w14:paraId="6EA0BE65">
      <w:pPr>
        <w:keepNext w:val="0"/>
        <w:keepLines w:val="0"/>
        <w:pageBreakBefore w:val="0"/>
        <w:widowControl w:val="0"/>
        <w:kinsoku/>
        <w:wordWrap/>
        <w:overflowPunct/>
        <w:topLinePunct w:val="0"/>
        <w:bidi w:val="0"/>
        <w:adjustRightInd/>
        <w:spacing w:line="560" w:lineRule="exact"/>
        <w:ind w:firstLine="632" w:firstLineChars="200"/>
        <w:textAlignment w:val="auto"/>
        <w:rPr>
          <w:rFonts w:ascii="Times New Roman" w:hAnsi="Times New Roman" w:eastAsia="方正仿宋_GBK" w:cs="Times New Roman"/>
          <w:sz w:val="32"/>
          <w:szCs w:val="32"/>
        </w:rPr>
      </w:pPr>
      <w:r>
        <w:rPr>
          <w:rFonts w:ascii="Times New Roman" w:hAnsi="Times New Roman" w:eastAsia="方正仿宋_GBK" w:cs="Times New Roman"/>
          <w:sz w:val="32"/>
          <w:szCs w:val="32"/>
        </w:rPr>
        <w:t>针对新能源、新材料、新一代信息技术、高端些装备等我市重点发展的战新产业，瞄准产业链薄弱环节，开展补充式、填空式招引，推动产业链向上下游延伸，特别是要在产业细分领域深耕细作，吸引更多好项目、新项目落地，加快推动企业成群、产业成链。</w:t>
      </w:r>
      <w:r>
        <w:rPr>
          <w:rFonts w:hint="eastAsia" w:ascii="Times New Roman" w:hAnsi="Times New Roman" w:eastAsia="方正仿宋_GBK" w:cs="Times New Roman"/>
          <w:sz w:val="32"/>
          <w:szCs w:val="32"/>
        </w:rPr>
        <w:t>以集成电路为例，重点聚焦</w:t>
      </w:r>
      <w:r>
        <w:rPr>
          <w:rFonts w:hint="eastAsia" w:ascii="Times New Roman" w:hAnsi="Times New Roman" w:eastAsia="方正仿宋_GBK"/>
          <w:color w:val="000000"/>
          <w:sz w:val="32"/>
          <w:szCs w:val="32"/>
        </w:rPr>
        <w:t>微控制器、数字信号处理器、通信芯片等芯片设计及服务企业，大规模数字集成电路、模拟、数模集成电路等芯片制造企业，硅片、绝缘体上硅、光刻胶、靶材、抛光液等半导体材料企业，高端光刻机、刻蚀机、离子注入机等半导体设备企业，招引高科技项目落户。</w:t>
      </w:r>
    </w:p>
    <w:p w14:paraId="665A595D">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hint="eastAsia" w:ascii="Times New Roman" w:hAnsi="Times New Roman" w:eastAsia="方正楷体_GBK" w:cs="方正楷体_GBK"/>
          <w:sz w:val="32"/>
          <w:szCs w:val="27"/>
        </w:rPr>
      </w:pPr>
      <w:r>
        <w:rPr>
          <w:rFonts w:hint="eastAsia" w:ascii="Times New Roman" w:hAnsi="Times New Roman" w:eastAsia="方正楷体_GBK" w:cs="方正楷体_GBK"/>
          <w:sz w:val="32"/>
          <w:szCs w:val="27"/>
        </w:rPr>
        <w:t>（四）聚焦未来产业，从抢抓新赛道角度推进招商</w:t>
      </w:r>
    </w:p>
    <w:p w14:paraId="300F1A05">
      <w:pPr>
        <w:keepNext w:val="0"/>
        <w:keepLines w:val="0"/>
        <w:pageBreakBefore w:val="0"/>
        <w:widowControl w:val="0"/>
        <w:kinsoku/>
        <w:wordWrap/>
        <w:overflowPunct/>
        <w:topLinePunct w:val="0"/>
        <w:bidi w:val="0"/>
        <w:adjustRightInd/>
        <w:spacing w:line="560" w:lineRule="exact"/>
        <w:ind w:firstLine="632" w:firstLineChars="200"/>
        <w:textAlignment w:val="auto"/>
        <w:rPr>
          <w:rFonts w:ascii="Times New Roman" w:hAnsi="Times New Roman" w:eastAsia="方正仿宋_GBK" w:cs="Times New Roman"/>
          <w:sz w:val="32"/>
          <w:szCs w:val="32"/>
        </w:rPr>
      </w:pPr>
      <w:r>
        <w:rPr>
          <w:rFonts w:ascii="Times New Roman" w:hAnsi="Times New Roman" w:eastAsia="方正仿宋_GBK" w:cs="Times New Roman"/>
          <w:sz w:val="32"/>
          <w:szCs w:val="32"/>
        </w:rPr>
        <w:t>围绕未来产业的关键环节，紧盯行业高端领域、前沿先进技术，吸引行业龙头企业、相关配套企业，聚集高端科创平台、优质科创项目在深远海装备、新型储能、第三代半导体、通用人工智能、细胞和基因技术、合成生物等产业领域前瞻布局，构建在省内具有影响力的未来产业链。</w:t>
      </w:r>
      <w:r>
        <w:rPr>
          <w:rFonts w:hint="eastAsia" w:ascii="Times New Roman" w:hAnsi="Times New Roman" w:eastAsia="方正仿宋_GBK" w:cs="Times New Roman"/>
          <w:sz w:val="32"/>
          <w:szCs w:val="32"/>
        </w:rPr>
        <w:t>以新型储能为例，聚焦上游的高性能锂离子电池、钠硫电池、液流电池、电池管理系统、储能变流器，中游的电化学储能、压缩空气储能、飞轮储能、氢储能，下游的风储电站、光储电站、便携式储能等领域，招引“专精特新”、独角兽企业落户。</w:t>
      </w:r>
    </w:p>
    <w:p w14:paraId="54E75852">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ascii="Times New Roman" w:hAnsi="Times New Roman" w:eastAsia="方正黑体_GBK"/>
          <w:sz w:val="32"/>
          <w:szCs w:val="27"/>
        </w:rPr>
      </w:pPr>
      <w:r>
        <w:rPr>
          <w:rFonts w:hint="eastAsia" w:ascii="Times New Roman" w:hAnsi="Times New Roman" w:eastAsia="方正黑体_GBK"/>
          <w:sz w:val="32"/>
          <w:szCs w:val="27"/>
        </w:rPr>
        <w:t>二、持续推动产业链精准化招商</w:t>
      </w:r>
    </w:p>
    <w:p w14:paraId="16AB125B">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hint="eastAsia" w:ascii="Times New Roman" w:hAnsi="Times New Roman" w:eastAsia="方正楷体_GBK" w:cs="方正楷体_GBK"/>
          <w:sz w:val="32"/>
          <w:szCs w:val="27"/>
        </w:rPr>
      </w:pPr>
      <w:r>
        <w:rPr>
          <w:rFonts w:hint="eastAsia" w:ascii="Times New Roman" w:hAnsi="Times New Roman" w:eastAsia="方正楷体_GBK" w:cs="方正楷体_GBK"/>
          <w:sz w:val="32"/>
          <w:szCs w:val="27"/>
        </w:rPr>
        <w:t>（一）瞄准重点城市，主动招引和承接产业项目</w:t>
      </w:r>
    </w:p>
    <w:p w14:paraId="2366A389">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hint="eastAsia" w:ascii="Times New Roman" w:hAnsi="Times New Roman" w:eastAsia="方正仿宋_GBK" w:cs="方正仿宋_GBK"/>
          <w:color w:val="000000"/>
          <w:sz w:val="32"/>
          <w:szCs w:val="32"/>
        </w:rPr>
      </w:pPr>
      <w:r>
        <w:rPr>
          <w:rFonts w:hint="eastAsia" w:ascii="Times New Roman" w:hAnsi="Times New Roman" w:eastAsia="方正仿宋_GBK" w:cs="方正仿宋_GBK"/>
          <w:color w:val="000000"/>
          <w:sz w:val="32"/>
          <w:szCs w:val="32"/>
        </w:rPr>
        <w:t>主要是三个城市。</w:t>
      </w:r>
      <w:r>
        <w:rPr>
          <w:rFonts w:hint="eastAsia" w:ascii="方正楷体_GBK" w:hAnsi="方正楷体_GBK" w:eastAsia="方正楷体_GBK" w:cs="方正楷体_GBK"/>
          <w:b/>
          <w:bCs/>
          <w:color w:val="000000"/>
          <w:sz w:val="32"/>
          <w:szCs w:val="32"/>
        </w:rPr>
        <w:t>深耕上海：</w:t>
      </w:r>
      <w:r>
        <w:rPr>
          <w:rFonts w:hint="eastAsia" w:ascii="Times New Roman" w:hAnsi="Times New Roman" w:eastAsia="方正仿宋_GBK" w:cs="方正仿宋_GBK"/>
          <w:b/>
          <w:bCs/>
          <w:color w:val="000000"/>
          <w:sz w:val="32"/>
          <w:szCs w:val="32"/>
        </w:rPr>
        <w:t>一是</w:t>
      </w:r>
      <w:r>
        <w:rPr>
          <w:rFonts w:hint="eastAsia" w:ascii="Times New Roman" w:hAnsi="Times New Roman" w:eastAsia="方正仿宋_GBK" w:cs="方正仿宋_GBK"/>
          <w:b/>
          <w:color w:val="000000"/>
          <w:sz w:val="32"/>
          <w:szCs w:val="32"/>
        </w:rPr>
        <w:t>抢抓</w:t>
      </w:r>
      <w:r>
        <w:rPr>
          <w:rFonts w:hint="eastAsia" w:ascii="Times New Roman" w:hAnsi="Times New Roman" w:eastAsia="方正仿宋_GBK" w:cs="方正仿宋_GBK"/>
          <w:b/>
          <w:bCs/>
          <w:color w:val="000000"/>
          <w:sz w:val="32"/>
          <w:szCs w:val="32"/>
        </w:rPr>
        <w:t>上海</w:t>
      </w:r>
      <w:r>
        <w:rPr>
          <w:rFonts w:hint="eastAsia" w:ascii="Times New Roman" w:hAnsi="Times New Roman" w:eastAsia="方正仿宋_GBK" w:cs="方正仿宋_GBK"/>
          <w:b/>
          <w:color w:val="000000"/>
          <w:sz w:val="32"/>
          <w:szCs w:val="32"/>
        </w:rPr>
        <w:t>跨国公司总部项目</w:t>
      </w:r>
      <w:r>
        <w:rPr>
          <w:rFonts w:hint="eastAsia" w:ascii="Times New Roman" w:hAnsi="Times New Roman" w:eastAsia="方正仿宋_GBK" w:cs="方正仿宋_GBK"/>
          <w:bCs/>
          <w:color w:val="000000"/>
          <w:sz w:val="32"/>
          <w:szCs w:val="32"/>
        </w:rPr>
        <w:t>。</w:t>
      </w:r>
      <w:r>
        <w:rPr>
          <w:rFonts w:hint="eastAsia" w:ascii="Times New Roman" w:hAnsi="Times New Roman" w:eastAsia="方正仿宋_GBK" w:cs="方正仿宋_GBK"/>
          <w:color w:val="000000"/>
          <w:sz w:val="32"/>
          <w:szCs w:val="32"/>
        </w:rPr>
        <w:t>筛选与南通产业匹配度较高的200多家企业，持续开展面对面对接交流活动；</w:t>
      </w:r>
      <w:r>
        <w:rPr>
          <w:rFonts w:hint="eastAsia" w:ascii="Times New Roman" w:hAnsi="Times New Roman" w:eastAsia="方正仿宋_GBK" w:cs="方正仿宋_GBK"/>
          <w:b/>
          <w:bCs/>
          <w:color w:val="000000"/>
          <w:sz w:val="32"/>
          <w:szCs w:val="32"/>
        </w:rPr>
        <w:t>二是抢抓上海的溢出项目</w:t>
      </w:r>
      <w:r>
        <w:rPr>
          <w:rFonts w:hint="eastAsia" w:ascii="Times New Roman" w:hAnsi="Times New Roman" w:eastAsia="方正仿宋_GBK" w:cs="方正仿宋_GBK"/>
          <w:bCs/>
          <w:color w:val="000000"/>
          <w:sz w:val="32"/>
          <w:szCs w:val="32"/>
        </w:rPr>
        <w:t>。</w:t>
      </w:r>
      <w:r>
        <w:rPr>
          <w:rFonts w:hint="eastAsia" w:ascii="Times New Roman" w:hAnsi="Times New Roman" w:eastAsia="方正仿宋_GBK" w:cs="方正仿宋_GBK"/>
          <w:color w:val="000000"/>
          <w:sz w:val="32"/>
          <w:szCs w:val="32"/>
        </w:rPr>
        <w:t>重点瞄准上海的制造业100强、服务业100强、民营100强、新兴产业100强企业，招引</w:t>
      </w:r>
      <w:r>
        <w:rPr>
          <w:rFonts w:hint="eastAsia" w:ascii="Times New Roman" w:hAnsi="Times New Roman" w:eastAsia="方正仿宋_GBK" w:cs="方正仿宋_GBK"/>
          <w:bCs/>
          <w:color w:val="000000"/>
          <w:sz w:val="32"/>
          <w:szCs w:val="32"/>
        </w:rPr>
        <w:t>产业链、供应链上下游溢出项目</w:t>
      </w:r>
      <w:r>
        <w:rPr>
          <w:rFonts w:hint="eastAsia" w:ascii="Times New Roman" w:hAnsi="Times New Roman" w:eastAsia="方正仿宋_GBK" w:cs="方正仿宋_GBK"/>
          <w:color w:val="000000"/>
          <w:sz w:val="32"/>
          <w:szCs w:val="32"/>
        </w:rPr>
        <w:t>落户南通。</w:t>
      </w:r>
      <w:r>
        <w:rPr>
          <w:rFonts w:hint="eastAsia" w:ascii="方正楷体_GBK" w:hAnsi="方正楷体_GBK" w:eastAsia="方正楷体_GBK" w:cs="方正楷体_GBK"/>
          <w:b/>
          <w:bCs/>
          <w:color w:val="000000"/>
          <w:sz w:val="32"/>
          <w:szCs w:val="32"/>
        </w:rPr>
        <w:t>深耕北京：</w:t>
      </w:r>
      <w:r>
        <w:rPr>
          <w:rFonts w:hint="eastAsia" w:ascii="Times New Roman" w:hAnsi="Times New Roman" w:eastAsia="方正仿宋_GBK" w:cs="方正仿宋_GBK"/>
          <w:b/>
          <w:bCs/>
          <w:color w:val="000000"/>
          <w:sz w:val="32"/>
          <w:szCs w:val="32"/>
        </w:rPr>
        <w:t>一是拜访国家产业部委。</w:t>
      </w:r>
      <w:r>
        <w:rPr>
          <w:rFonts w:hint="eastAsia" w:ascii="Times New Roman" w:hAnsi="Times New Roman" w:eastAsia="方正仿宋_GBK" w:cs="方正仿宋_GBK"/>
          <w:bCs/>
          <w:color w:val="000000"/>
          <w:sz w:val="32"/>
          <w:szCs w:val="32"/>
        </w:rPr>
        <w:t>重点是</w:t>
      </w:r>
      <w:r>
        <w:rPr>
          <w:rFonts w:hint="eastAsia" w:ascii="Times New Roman" w:hAnsi="Times New Roman" w:eastAsia="方正仿宋_GBK" w:cs="方正仿宋_GBK"/>
          <w:color w:val="000000"/>
          <w:sz w:val="32"/>
          <w:szCs w:val="32"/>
        </w:rPr>
        <w:t>拜访国家发改委、工信部、科技部、商务部、国资委等产业部委，捕捉重大产业项目和军民融合项目信息。</w:t>
      </w:r>
      <w:r>
        <w:rPr>
          <w:rFonts w:hint="eastAsia" w:ascii="Times New Roman" w:hAnsi="Times New Roman" w:eastAsia="方正仿宋_GBK" w:cs="方正仿宋_GBK"/>
          <w:b/>
          <w:color w:val="000000"/>
          <w:sz w:val="32"/>
          <w:szCs w:val="32"/>
        </w:rPr>
        <w:t>二是走进</w:t>
      </w:r>
      <w:r>
        <w:rPr>
          <w:rFonts w:hint="eastAsia" w:ascii="Times New Roman" w:hAnsi="Times New Roman" w:eastAsia="方正仿宋_GBK" w:cs="方正仿宋_GBK"/>
          <w:b/>
          <w:bCs/>
          <w:color w:val="000000"/>
          <w:sz w:val="32"/>
          <w:szCs w:val="32"/>
        </w:rPr>
        <w:t>央企总部。</w:t>
      </w:r>
      <w:r>
        <w:rPr>
          <w:rFonts w:hint="eastAsia" w:ascii="Times New Roman" w:hAnsi="Times New Roman" w:eastAsia="方正仿宋_GBK" w:cs="方正仿宋_GBK"/>
          <w:color w:val="000000"/>
          <w:sz w:val="32"/>
          <w:szCs w:val="32"/>
        </w:rPr>
        <w:t>制定和</w:t>
      </w:r>
      <w:r>
        <w:rPr>
          <w:rFonts w:hint="eastAsia" w:ascii="Times New Roman" w:hAnsi="Times New Roman" w:eastAsia="方正仿宋_GBK" w:cs="方正仿宋_GBK"/>
          <w:sz w:val="32"/>
          <w:szCs w:val="32"/>
        </w:rPr>
        <w:t>完善“携手央企再出发伙伴计划”，组织相关部门、板块、企业对接沟通，争取央企新增的投资项目和二、三级区域部门及研发基地落户南通。三</w:t>
      </w:r>
      <w:r>
        <w:rPr>
          <w:rFonts w:hint="eastAsia" w:ascii="Times New Roman" w:hAnsi="Times New Roman" w:eastAsia="方正仿宋_GBK" w:cs="方正仿宋_GBK"/>
          <w:b/>
          <w:bCs/>
          <w:color w:val="000000"/>
          <w:sz w:val="32"/>
          <w:szCs w:val="32"/>
        </w:rPr>
        <w:t>是走进高校。</w:t>
      </w:r>
      <w:r>
        <w:rPr>
          <w:rFonts w:hint="eastAsia" w:ascii="Times New Roman" w:hAnsi="Times New Roman" w:eastAsia="方正仿宋_GBK" w:cs="方正仿宋_GBK"/>
          <w:bCs/>
          <w:color w:val="000000"/>
          <w:sz w:val="32"/>
          <w:szCs w:val="32"/>
        </w:rPr>
        <w:t>充分</w:t>
      </w:r>
      <w:r>
        <w:rPr>
          <w:rFonts w:hint="eastAsia" w:ascii="Times New Roman" w:hAnsi="Times New Roman" w:eastAsia="方正仿宋_GBK" w:cs="方正仿宋_GBK"/>
          <w:color w:val="000000"/>
          <w:sz w:val="32"/>
          <w:szCs w:val="32"/>
        </w:rPr>
        <w:t>挖掘清华等高校的科创资源，吸引产业研究院、联合研发中心和创新创业团队入驻南通，推动科研成果项目在南通转化。</w:t>
      </w:r>
      <w:r>
        <w:rPr>
          <w:rFonts w:hint="eastAsia" w:ascii="方正楷体_GBK" w:hAnsi="方正楷体_GBK" w:eastAsia="方正楷体_GBK" w:cs="方正楷体_GBK"/>
          <w:b/>
          <w:bCs/>
          <w:color w:val="000000"/>
          <w:sz w:val="32"/>
          <w:szCs w:val="32"/>
        </w:rPr>
        <w:t>深耕深圳：</w:t>
      </w:r>
      <w:r>
        <w:rPr>
          <w:rFonts w:hint="eastAsia" w:ascii="Times New Roman" w:hAnsi="Times New Roman" w:eastAsia="方正仿宋_GBK" w:cs="方正仿宋_GBK"/>
          <w:b/>
          <w:bCs/>
          <w:color w:val="000000"/>
          <w:sz w:val="32"/>
          <w:szCs w:val="32"/>
        </w:rPr>
        <w:t>一是招引高科技项目。</w:t>
      </w:r>
      <w:r>
        <w:rPr>
          <w:rFonts w:hint="eastAsia" w:ascii="Times New Roman" w:hAnsi="Times New Roman" w:eastAsia="方正仿宋_GBK" w:cs="方正仿宋_GBK"/>
          <w:sz w:val="32"/>
          <w:szCs w:val="32"/>
        </w:rPr>
        <w:t>拜访创新创业园区、孵化器、科创投资平台，通过“飞地孵化”“离岸创新”和“基地+拓展区”“总部+协同中心”等模式，推动创新要素向南通流动。</w:t>
      </w:r>
      <w:r>
        <w:rPr>
          <w:rFonts w:hint="eastAsia" w:ascii="Times New Roman" w:hAnsi="Times New Roman" w:eastAsia="方正仿宋_GBK" w:cs="方正仿宋_GBK"/>
          <w:b/>
          <w:bCs/>
          <w:color w:val="000000"/>
          <w:sz w:val="32"/>
          <w:szCs w:val="32"/>
        </w:rPr>
        <w:t>二是</w:t>
      </w:r>
      <w:r>
        <w:rPr>
          <w:rFonts w:hint="eastAsia" w:ascii="Times New Roman" w:hAnsi="Times New Roman" w:eastAsia="方正仿宋_GBK" w:cs="方正仿宋_GBK"/>
          <w:b/>
          <w:bCs/>
          <w:sz w:val="32"/>
          <w:szCs w:val="32"/>
        </w:rPr>
        <w:t>招引高端生产性服务业项目。</w:t>
      </w:r>
      <w:r>
        <w:rPr>
          <w:rFonts w:hint="eastAsia" w:ascii="Times New Roman" w:hAnsi="Times New Roman" w:eastAsia="方正仿宋_GBK" w:cs="方正仿宋_GBK"/>
          <w:sz w:val="32"/>
          <w:szCs w:val="32"/>
        </w:rPr>
        <w:t>拜访跨境电商产业园区和电商平台企业，招引电商“大卖”、仓储物流、货运代理、市场资讯、创意设计、检测认证等行业的知名企业</w:t>
      </w:r>
      <w:r>
        <w:rPr>
          <w:rFonts w:hint="eastAsia" w:ascii="Times New Roman" w:hAnsi="Times New Roman" w:eastAsia="方正仿宋_GBK" w:cs="方正仿宋_GBK"/>
          <w:color w:val="000000"/>
          <w:sz w:val="32"/>
          <w:szCs w:val="32"/>
        </w:rPr>
        <w:t>。</w:t>
      </w:r>
    </w:p>
    <w:p w14:paraId="191D5BE3">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hint="eastAsia" w:ascii="Times New Roman" w:hAnsi="Times New Roman" w:eastAsia="方正楷体_GBK" w:cs="方正楷体_GBK"/>
          <w:sz w:val="32"/>
          <w:szCs w:val="27"/>
        </w:rPr>
      </w:pPr>
      <w:r>
        <w:rPr>
          <w:rFonts w:hint="eastAsia" w:ascii="Times New Roman" w:hAnsi="Times New Roman" w:eastAsia="方正楷体_GBK" w:cs="方正楷体_GBK"/>
          <w:sz w:val="32"/>
          <w:szCs w:val="27"/>
        </w:rPr>
        <w:t>（二）依托链主企业，加大力度推动以商引商</w:t>
      </w:r>
    </w:p>
    <w:p w14:paraId="34882777">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ascii="Times New Roman" w:hAnsi="Times New Roman" w:eastAsia="楷体_GB2312"/>
          <w:sz w:val="32"/>
          <w:szCs w:val="27"/>
        </w:rPr>
      </w:pPr>
      <w:r>
        <w:rPr>
          <w:rFonts w:hint="eastAsia" w:ascii="Times New Roman" w:hAnsi="Times New Roman" w:eastAsia="方正仿宋_GBK" w:cs="方正仿宋_GBK"/>
          <w:b/>
          <w:bCs/>
          <w:sz w:val="32"/>
          <w:szCs w:val="32"/>
        </w:rPr>
        <w:t>一是</w:t>
      </w:r>
      <w:r>
        <w:rPr>
          <w:rFonts w:hint="eastAsia" w:ascii="Times New Roman" w:hAnsi="Times New Roman" w:eastAsia="方正仿宋_GBK" w:cs="方正仿宋_GBK"/>
          <w:sz w:val="32"/>
          <w:szCs w:val="32"/>
        </w:rPr>
        <w:t>瞄准已落户南通的重点外企</w:t>
      </w:r>
      <w:r>
        <w:rPr>
          <w:rFonts w:ascii="Times New Roman" w:hAnsi="Times New Roman" w:eastAsia="方正仿宋_GBK" w:cs="方正仿宋_GBK"/>
          <w:sz w:val="32"/>
          <w:szCs w:val="32"/>
        </w:rPr>
        <w:t>，通过定期</w:t>
      </w:r>
      <w:r>
        <w:rPr>
          <w:rFonts w:hint="eastAsia" w:ascii="Times New Roman" w:hAnsi="Times New Roman" w:eastAsia="方正仿宋_GBK" w:cs="方正仿宋_GBK"/>
          <w:sz w:val="32"/>
          <w:szCs w:val="32"/>
        </w:rPr>
        <w:t>举办</w:t>
      </w:r>
      <w:r>
        <w:rPr>
          <w:rFonts w:ascii="Times New Roman" w:hAnsi="Times New Roman" w:eastAsia="方正仿宋_GBK" w:cs="方正仿宋_GBK"/>
          <w:sz w:val="32"/>
          <w:szCs w:val="32"/>
        </w:rPr>
        <w:t>企业高管座谈会、冷餐会等形式，现场协调解决外企在通发展碰到的难点问题，强化企业投资信心，挖掘企业投资信息，服务企业增资扩股，</w:t>
      </w:r>
      <w:r>
        <w:rPr>
          <w:rFonts w:hint="eastAsia" w:ascii="Times New Roman" w:hAnsi="Times New Roman" w:eastAsia="方正仿宋_GBK" w:cs="方正仿宋_GBK"/>
          <w:sz w:val="32"/>
          <w:szCs w:val="32"/>
        </w:rPr>
        <w:t>同时加大对外企全球总部、中国总部的拜访力度，推动企业在通新上项目</w:t>
      </w:r>
      <w:r>
        <w:rPr>
          <w:rFonts w:ascii="Times New Roman" w:hAnsi="Times New Roman" w:eastAsia="方正仿宋_GBK" w:cs="方正仿宋_GBK"/>
          <w:sz w:val="32"/>
          <w:szCs w:val="32"/>
        </w:rPr>
        <w:t>。</w:t>
      </w:r>
      <w:r>
        <w:rPr>
          <w:rFonts w:hint="eastAsia" w:ascii="Times New Roman" w:hAnsi="Times New Roman" w:eastAsia="方正仿宋_GBK" w:cs="方正仿宋_GBK"/>
          <w:b/>
          <w:bCs/>
          <w:sz w:val="32"/>
          <w:szCs w:val="32"/>
        </w:rPr>
        <w:t>二是</w:t>
      </w:r>
      <w:r>
        <w:rPr>
          <w:rFonts w:hint="eastAsia" w:ascii="Times New Roman" w:hAnsi="Times New Roman" w:eastAsia="方正仿宋_GBK" w:cs="方正仿宋_GBK"/>
          <w:sz w:val="32"/>
          <w:szCs w:val="32"/>
        </w:rPr>
        <w:t>瞄准南通本地链主企业，如</w:t>
      </w:r>
      <w:r>
        <w:rPr>
          <w:rFonts w:ascii="Times New Roman" w:hAnsi="Times New Roman" w:eastAsia="方正仿宋_GBK" w:cs="方正仿宋_GBK"/>
          <w:sz w:val="32"/>
          <w:szCs w:val="32"/>
        </w:rPr>
        <w:t>中远海工、招商局重工、</w:t>
      </w:r>
      <w:r>
        <w:rPr>
          <w:rFonts w:hint="eastAsia" w:ascii="Times New Roman" w:hAnsi="Times New Roman" w:eastAsia="方正仿宋_GBK" w:cs="方正仿宋_GBK"/>
          <w:sz w:val="32"/>
          <w:szCs w:val="32"/>
        </w:rPr>
        <w:t>通富微电、中天科技、中航高科、林洋能源、捷捷微电、神马电力等龙头企业，编制所在行业的产业链招商图谱，通过企业家牵线搭桥，捕捉一手投资信息，</w:t>
      </w:r>
      <w:r>
        <w:rPr>
          <w:rFonts w:ascii="Times New Roman" w:hAnsi="Times New Roman" w:eastAsia="方正仿宋_GBK" w:cs="方正仿宋_GBK"/>
          <w:sz w:val="32"/>
          <w:szCs w:val="32"/>
        </w:rPr>
        <w:t>动员其产业链</w:t>
      </w:r>
      <w:r>
        <w:rPr>
          <w:rFonts w:hint="eastAsia" w:ascii="Times New Roman" w:hAnsi="Times New Roman" w:eastAsia="方正仿宋_GBK" w:cs="方正仿宋_GBK"/>
          <w:sz w:val="32"/>
          <w:szCs w:val="32"/>
        </w:rPr>
        <w:t>、供应链</w:t>
      </w:r>
      <w:r>
        <w:rPr>
          <w:rFonts w:ascii="Times New Roman" w:hAnsi="Times New Roman" w:eastAsia="方正仿宋_GBK" w:cs="方正仿宋_GBK"/>
          <w:sz w:val="32"/>
          <w:szCs w:val="32"/>
        </w:rPr>
        <w:t>上下游企业来通投资发展</w:t>
      </w:r>
      <w:r>
        <w:rPr>
          <w:rFonts w:hint="eastAsia" w:ascii="Times New Roman" w:hAnsi="Times New Roman" w:eastAsia="方正仿宋_GBK" w:cs="方正仿宋_GBK"/>
          <w:sz w:val="32"/>
          <w:szCs w:val="32"/>
        </w:rPr>
        <w:t>。</w:t>
      </w:r>
    </w:p>
    <w:p w14:paraId="0BB21F65">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hint="eastAsia" w:ascii="Times New Roman" w:hAnsi="Times New Roman" w:eastAsia="方正楷体_GBK" w:cs="方正楷体_GBK"/>
          <w:sz w:val="32"/>
          <w:szCs w:val="27"/>
        </w:rPr>
      </w:pPr>
      <w:r>
        <w:rPr>
          <w:rFonts w:hint="eastAsia" w:ascii="Times New Roman" w:hAnsi="Times New Roman" w:eastAsia="方正楷体_GBK" w:cs="方正楷体_GBK"/>
          <w:sz w:val="32"/>
          <w:szCs w:val="27"/>
        </w:rPr>
        <w:t>（三）拓展资源渠道，持续开展专业机构合作招商</w:t>
      </w:r>
    </w:p>
    <w:p w14:paraId="12406426">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专业机构在资源信息、专业服务、影响决策、市场运作等方面有很强的优势，对产业链研究较深，因此要加强与专业机构的合作，重点是以下五类机构：</w:t>
      </w:r>
      <w:r>
        <w:rPr>
          <w:rFonts w:hint="eastAsia" w:ascii="Times New Roman" w:hAnsi="Times New Roman" w:eastAsia="方正仿宋_GBK" w:cs="方正仿宋_GBK"/>
          <w:b/>
          <w:bCs/>
          <w:sz w:val="32"/>
          <w:szCs w:val="32"/>
        </w:rPr>
        <w:t>一是</w:t>
      </w:r>
      <w:r>
        <w:rPr>
          <w:rFonts w:hint="eastAsia" w:ascii="Times New Roman" w:hAnsi="Times New Roman" w:eastAsia="方正仿宋_GBK" w:cs="方正仿宋_GBK"/>
          <w:sz w:val="32"/>
          <w:szCs w:val="32"/>
        </w:rPr>
        <w:t>国内行业机构，包括行业协会、科研院所、重点地区的专业协会等；</w:t>
      </w:r>
      <w:r>
        <w:rPr>
          <w:rFonts w:hint="eastAsia" w:ascii="Times New Roman" w:hAnsi="Times New Roman" w:eastAsia="方正仿宋_GBK" w:cs="方正仿宋_GBK"/>
          <w:b/>
          <w:bCs/>
          <w:sz w:val="32"/>
          <w:szCs w:val="32"/>
        </w:rPr>
        <w:t>二是</w:t>
      </w:r>
      <w:r>
        <w:rPr>
          <w:rFonts w:hint="eastAsia" w:ascii="Times New Roman" w:hAnsi="Times New Roman" w:eastAsia="方正仿宋_GBK" w:cs="方正仿宋_GBK"/>
          <w:sz w:val="32"/>
          <w:szCs w:val="32"/>
        </w:rPr>
        <w:t>国际合作机构，包括驻华使领馆商务处及投资促进机构、外国重点城市驻华代表处等；</w:t>
      </w:r>
      <w:r>
        <w:rPr>
          <w:rFonts w:hint="eastAsia" w:ascii="Times New Roman" w:hAnsi="Times New Roman" w:eastAsia="方正仿宋_GBK" w:cs="方正仿宋_GBK"/>
          <w:b/>
          <w:bCs/>
          <w:sz w:val="32"/>
          <w:szCs w:val="32"/>
        </w:rPr>
        <w:t>三是</w:t>
      </w:r>
      <w:r>
        <w:rPr>
          <w:rFonts w:hint="eastAsia" w:ascii="Times New Roman" w:hAnsi="Times New Roman" w:eastAsia="方正仿宋_GBK" w:cs="方正仿宋_GBK"/>
          <w:sz w:val="32"/>
          <w:szCs w:val="32"/>
        </w:rPr>
        <w:t>知名投资机构，包括创投基金、股权投资机构等；</w:t>
      </w:r>
      <w:r>
        <w:rPr>
          <w:rFonts w:hint="eastAsia" w:ascii="Times New Roman" w:hAnsi="Times New Roman" w:eastAsia="方正仿宋_GBK" w:cs="方正仿宋_GBK"/>
          <w:b/>
          <w:bCs/>
          <w:sz w:val="32"/>
          <w:szCs w:val="32"/>
        </w:rPr>
        <w:t>四是</w:t>
      </w:r>
      <w:r>
        <w:rPr>
          <w:rFonts w:hint="eastAsia" w:ascii="Times New Roman" w:hAnsi="Times New Roman" w:eastAsia="方正仿宋_GBK" w:cs="方正仿宋_GBK"/>
          <w:sz w:val="32"/>
          <w:szCs w:val="32"/>
        </w:rPr>
        <w:t>外资服务机构，包括外资咨询公司、外资金融机构、外资会计师事务所、律师事务所等；</w:t>
      </w:r>
      <w:r>
        <w:rPr>
          <w:rFonts w:hint="eastAsia" w:ascii="Times New Roman" w:hAnsi="Times New Roman" w:eastAsia="方正仿宋_GBK" w:cs="方正仿宋_GBK"/>
          <w:b/>
          <w:bCs/>
          <w:sz w:val="32"/>
          <w:szCs w:val="32"/>
        </w:rPr>
        <w:t>五是</w:t>
      </w:r>
      <w:r>
        <w:rPr>
          <w:rFonts w:hint="eastAsia" w:ascii="Times New Roman" w:hAnsi="Times New Roman" w:eastAsia="方正仿宋_GBK" w:cs="方正仿宋_GBK"/>
          <w:sz w:val="32"/>
          <w:szCs w:val="32"/>
        </w:rPr>
        <w:t>在外通籍商会。推动各板块常态化拜访上述五类专业机构，深化在先进制造业链式招商方面的合作，进一步拓展招商网络渠道。</w:t>
      </w:r>
    </w:p>
    <w:p w14:paraId="1E9D3906">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hint="eastAsia" w:ascii="Times New Roman" w:hAnsi="Times New Roman" w:eastAsia="方正楷体_GBK" w:cs="方正楷体_GBK"/>
          <w:sz w:val="32"/>
          <w:szCs w:val="27"/>
        </w:rPr>
      </w:pPr>
      <w:r>
        <w:rPr>
          <w:rFonts w:hint="eastAsia" w:ascii="Times New Roman" w:hAnsi="Times New Roman" w:eastAsia="方正楷体_GBK" w:cs="方正楷体_GBK"/>
          <w:sz w:val="32"/>
          <w:szCs w:val="27"/>
        </w:rPr>
        <w:t>（四）组织招商活动，提升产业链招商质态质效</w:t>
      </w:r>
    </w:p>
    <w:p w14:paraId="19DB7F84">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围绕产业链招商，推动各地根据产业特色和发展方向，谋划产业招商活动品牌。重点围绕海洋产业、新一代信息技术、新材料、高端装备、新能源、生物医药等重点产业以及相关未来产业，以“小分队+区域化”形式，每年组织若干场专业性招商活动，提升各板块产业辨识度。定期在北京、上海、深圳、苏南等重点城市开展投资促进周活动，每个板块聚集重点产业方向，围绕在手在谈重大项目，邀请市领导上门看项目、推项目。针对外资项目招引，锁定有投资潜力的跨国公司上海总部，组织“跨国公司总部高管面对面”“跨国公司走进南通”活动。</w:t>
      </w:r>
    </w:p>
    <w:p w14:paraId="156053D8">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ascii="Times New Roman" w:hAnsi="Times New Roman" w:eastAsia="方正黑体_GBK"/>
          <w:sz w:val="32"/>
          <w:szCs w:val="27"/>
        </w:rPr>
      </w:pPr>
      <w:r>
        <w:rPr>
          <w:rFonts w:hint="eastAsia" w:ascii="Times New Roman" w:hAnsi="Times New Roman" w:eastAsia="方正黑体_GBK"/>
          <w:sz w:val="32"/>
          <w:szCs w:val="27"/>
        </w:rPr>
        <w:t>三、不断完善先进制造业招商体制机制</w:t>
      </w:r>
    </w:p>
    <w:p w14:paraId="04ECDAD2">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hint="eastAsia" w:ascii="Times New Roman" w:hAnsi="Times New Roman" w:eastAsia="方正楷体_GBK" w:cs="方正楷体_GBK"/>
          <w:sz w:val="32"/>
          <w:szCs w:val="27"/>
        </w:rPr>
      </w:pPr>
      <w:r>
        <w:rPr>
          <w:rFonts w:hint="eastAsia" w:ascii="Times New Roman" w:hAnsi="Times New Roman" w:eastAsia="方正楷体_GBK" w:cs="方正楷体_GBK"/>
          <w:sz w:val="32"/>
          <w:szCs w:val="27"/>
        </w:rPr>
        <w:t>（一）完善先进制造业招商项目评估机制</w:t>
      </w:r>
    </w:p>
    <w:p w14:paraId="7C80656A">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鼓励各招商载体与相关部门、行业专家、专业机构开展合作，加强产业研究，明确产业发展和项目招引方向，充分发挥专业力量，组织对项目产业匹配度、技术水平、市场前景、投资企业实力等方面进行综合评估，提高项目研判水平，并对项目落地时限、投资强度、亩均产出、实际贡献等过堂分析，避免“盲目变道”带来风险，确保项目顺利实施并达到预期目标。</w:t>
      </w:r>
    </w:p>
    <w:p w14:paraId="6DE2C504">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hint="eastAsia" w:ascii="Times New Roman" w:hAnsi="Times New Roman" w:eastAsia="方正楷体_GBK" w:cs="方正楷体_GBK"/>
          <w:sz w:val="32"/>
          <w:szCs w:val="27"/>
        </w:rPr>
      </w:pPr>
      <w:r>
        <w:rPr>
          <w:rFonts w:hint="eastAsia" w:ascii="Times New Roman" w:hAnsi="Times New Roman" w:eastAsia="方正楷体_GBK" w:cs="方正楷体_GBK"/>
          <w:sz w:val="32"/>
          <w:szCs w:val="27"/>
        </w:rPr>
        <w:t>（二）完善先进制造业招商引资通报机制</w:t>
      </w:r>
    </w:p>
    <w:p w14:paraId="3655B309">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每月对招商活动开展情况、签约注册项目进展，建立月通报制度，特别是对我市六大主导产业的先进制造业项目进行梳理分析。建立科技招商“月度跟踪、双月点评、季度考核”的闭环工作机制，每月发布“月”拼才能赢科技招商月历。每季度公布招商引资“龙虎榜”，召开全市招商引资及项目建设工作分析会，由市领导分析、点评全市招商引资工作情况，部署推进下阶段重点任务。</w:t>
      </w:r>
    </w:p>
    <w:p w14:paraId="171E773B">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hint="eastAsia" w:ascii="Times New Roman" w:hAnsi="Times New Roman" w:eastAsia="方正楷体_GBK" w:cs="方正楷体_GBK"/>
          <w:sz w:val="32"/>
          <w:szCs w:val="27"/>
        </w:rPr>
      </w:pPr>
      <w:r>
        <w:rPr>
          <w:rFonts w:hint="eastAsia" w:ascii="Times New Roman" w:hAnsi="Times New Roman" w:eastAsia="方正楷体_GBK" w:cs="方正楷体_GBK"/>
          <w:sz w:val="32"/>
          <w:szCs w:val="27"/>
        </w:rPr>
        <w:t>（三）完善先进制造业招商队伍培训机制</w:t>
      </w:r>
    </w:p>
    <w:p w14:paraId="742B6C82">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ascii="Times New Roman" w:hAnsi="Times New Roman" w:eastAsia="楷体_GB2312"/>
          <w:sz w:val="32"/>
          <w:szCs w:val="27"/>
        </w:rPr>
      </w:pPr>
      <w:r>
        <w:rPr>
          <w:rFonts w:hint="eastAsia" w:ascii="Times New Roman" w:hAnsi="Times New Roman" w:eastAsia="方正仿宋_GBK" w:cs="方正仿宋_GBK"/>
          <w:sz w:val="32"/>
          <w:szCs w:val="32"/>
        </w:rPr>
        <w:t>推进落实《全市专业化招商队伍能力提升实施方案》，打造一支“懂产业、懂经济、会招商、会服务”的高素质、专业化招商队伍。每个季度从提高招商队伍的综合素质出发开展系统性培训，邀请行业专家、招商精英，解构战略性新兴产业、未来产业等先进制造业产业链构成及发展趋势，持续提升招商人员的专业思维能力、政策运用水平、项目洽谈技巧，注重培训的知识性和实操性，为开展先进制</w:t>
      </w:r>
      <w:r>
        <w:rPr>
          <w:rFonts w:hint="eastAsia" w:ascii="Times New Roman" w:hAnsi="Times New Roman" w:eastAsia="方正仿宋_GBK" w:cs="Times New Roman"/>
          <w:snapToGrid w:val="0"/>
          <w:color w:val="000000"/>
          <w:kern w:val="0"/>
          <w:sz w:val="32"/>
          <w:szCs w:val="32"/>
        </w:rPr>
        <w:t>造业链式招商提供人才支撑。</w:t>
      </w:r>
    </w:p>
    <w:p w14:paraId="4DAE6779">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hint="eastAsia" w:ascii="Times New Roman" w:hAnsi="Times New Roman" w:eastAsia="方正楷体_GBK" w:cs="方正楷体_GBK"/>
          <w:sz w:val="32"/>
          <w:szCs w:val="27"/>
        </w:rPr>
      </w:pPr>
      <w:r>
        <w:rPr>
          <w:rFonts w:hint="eastAsia" w:ascii="Times New Roman" w:hAnsi="Times New Roman" w:eastAsia="方正楷体_GBK" w:cs="方正楷体_GBK"/>
          <w:sz w:val="32"/>
          <w:szCs w:val="27"/>
        </w:rPr>
        <w:t>（四）完善先进制造业招商金融支持机制</w:t>
      </w:r>
    </w:p>
    <w:p w14:paraId="5E179442">
      <w:pPr>
        <w:keepNext w:val="0"/>
        <w:keepLines w:val="0"/>
        <w:pageBreakBefore w:val="0"/>
        <w:widowControl w:val="0"/>
        <w:kinsoku/>
        <w:wordWrap/>
        <w:overflowPunct/>
        <w:topLinePunct w:val="0"/>
        <w:bidi w:val="0"/>
        <w:adjustRightInd/>
        <w:spacing w:line="560" w:lineRule="exact"/>
        <w:ind w:firstLine="632"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结合我市地方财力和产业政策制定政府引导基金及子基金发展规划和基金运作相关制度规范，侧重对先进制造业招商项目的财政金融支持力度。与大型融资集团开展战略性合作，吸引和撬动各类社会资本，建立多元化产业投融资体系，形成基金集聚带来招商引资的磁场效应。鼓励和引导金融机构加大对先进制造业的信贷支持力度，设立符合产业需求特点的信贷产品和保险产品。</w:t>
      </w:r>
    </w:p>
    <w:p w14:paraId="5DFD3B4F">
      <w:pPr>
        <w:keepNext w:val="0"/>
        <w:keepLines w:val="0"/>
        <w:pageBreakBefore w:val="0"/>
        <w:widowControl w:val="0"/>
        <w:kinsoku/>
        <w:wordWrap/>
        <w:overflowPunct/>
        <w:topLinePunct w:val="0"/>
        <w:autoSpaceDE w:val="0"/>
        <w:autoSpaceDN w:val="0"/>
        <w:bidi w:val="0"/>
        <w:adjustRightInd/>
        <w:snapToGrid w:val="0"/>
        <w:spacing w:line="560" w:lineRule="exact"/>
        <w:ind w:firstLine="636"/>
        <w:textAlignment w:val="auto"/>
        <w:rPr>
          <w:rFonts w:hint="eastAsia" w:ascii="Times New Roman" w:hAnsi="Times New Roman" w:eastAsia="方正楷体_GBK" w:cs="方正楷体_GBK"/>
          <w:sz w:val="32"/>
          <w:szCs w:val="27"/>
        </w:rPr>
      </w:pPr>
      <w:r>
        <w:rPr>
          <w:rFonts w:hint="eastAsia" w:ascii="Times New Roman" w:hAnsi="Times New Roman" w:eastAsia="方正楷体_GBK" w:cs="方正楷体_GBK"/>
          <w:sz w:val="32"/>
          <w:szCs w:val="27"/>
        </w:rPr>
        <w:t>（五）完善先进制造业人才培养引进机制</w:t>
      </w:r>
    </w:p>
    <w:p w14:paraId="63F248BC">
      <w:pPr>
        <w:keepNext w:val="0"/>
        <w:keepLines w:val="0"/>
        <w:pageBreakBefore w:val="0"/>
        <w:widowControl w:val="0"/>
        <w:kinsoku/>
        <w:wordWrap/>
        <w:overflowPunct/>
        <w:topLinePunct w:val="0"/>
        <w:bidi w:val="0"/>
        <w:adjustRightInd/>
        <w:spacing w:line="560" w:lineRule="exact"/>
        <w:ind w:firstLine="632"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深入实施江海英才计划和新一轮南通产业人才发展计划等相关政策，大力引进国内外一流的高科技产业人才和团队来南通创新创业。鼓励企业与高校联合搭建人才供需合作平台，建立产业人才定向委培机制和在职人员实训机制。依托北大长三角光电研究院、东南大学南通海洋高等研究院、南邮大学南通研究院、江苏省专用集成电路设计重点实验室等在通科研机构，拓宽人才发展渠道，为先进制造业领域的人才创造干事创业、施展才华的舞台。</w:t>
      </w:r>
    </w:p>
    <w:p w14:paraId="037B0620">
      <w:pPr>
        <w:keepNext w:val="0"/>
        <w:keepLines w:val="0"/>
        <w:pageBreakBefore w:val="0"/>
        <w:widowControl w:val="0"/>
        <w:kinsoku/>
        <w:wordWrap/>
        <w:overflowPunct/>
        <w:topLinePunct w:val="0"/>
        <w:autoSpaceDE w:val="0"/>
        <w:autoSpaceDN w:val="0"/>
        <w:bidi w:val="0"/>
        <w:adjustRightInd/>
        <w:snapToGrid w:val="0"/>
        <w:spacing w:line="560" w:lineRule="exact"/>
        <w:ind w:left="0" w:leftChars="0" w:right="1104" w:firstLine="0" w:firstLineChars="0"/>
        <w:jc w:val="both"/>
        <w:textAlignment w:val="auto"/>
        <w:rPr>
          <w:rFonts w:hint="eastAsia" w:ascii="Times New Roman" w:hAnsi="Times New Roman" w:eastAsia="方正仿宋_GBK" w:cs="方正仿宋_GBK"/>
          <w:kern w:val="0"/>
          <w:sz w:val="32"/>
          <w:szCs w:val="32"/>
          <w:lang w:val="en-US" w:eastAsia="zh-CN"/>
        </w:rPr>
      </w:pPr>
    </w:p>
    <w:p w14:paraId="74FC3E90">
      <w:pPr>
        <w:keepNext w:val="0"/>
        <w:keepLines w:val="0"/>
        <w:pageBreakBefore w:val="0"/>
        <w:widowControl w:val="0"/>
        <w:kinsoku/>
        <w:wordWrap/>
        <w:overflowPunct/>
        <w:topLinePunct w:val="0"/>
        <w:autoSpaceDE w:val="0"/>
        <w:autoSpaceDN w:val="0"/>
        <w:bidi w:val="0"/>
        <w:adjustRightInd/>
        <w:snapToGrid w:val="0"/>
        <w:spacing w:line="560" w:lineRule="exact"/>
        <w:ind w:left="0" w:leftChars="0" w:right="1104" w:firstLine="0" w:firstLineChars="0"/>
        <w:jc w:val="both"/>
        <w:textAlignment w:val="auto"/>
        <w:rPr>
          <w:rFonts w:hint="eastAsia" w:ascii="Times New Roman" w:hAnsi="Times New Roman" w:eastAsia="方正仿宋_GBK" w:cs="方正仿宋_GBK"/>
          <w:kern w:val="0"/>
          <w:sz w:val="32"/>
          <w:szCs w:val="32"/>
          <w:lang w:val="en-US" w:eastAsia="zh-CN"/>
        </w:rPr>
      </w:pPr>
    </w:p>
    <w:p w14:paraId="3778CB04">
      <w:pPr>
        <w:keepNext w:val="0"/>
        <w:keepLines w:val="0"/>
        <w:pageBreakBefore w:val="0"/>
        <w:widowControl w:val="0"/>
        <w:kinsoku/>
        <w:wordWrap/>
        <w:overflowPunct/>
        <w:topLinePunct w:val="0"/>
        <w:autoSpaceDE w:val="0"/>
        <w:autoSpaceDN w:val="0"/>
        <w:bidi w:val="0"/>
        <w:adjustRightInd/>
        <w:snapToGrid w:val="0"/>
        <w:spacing w:line="560" w:lineRule="exact"/>
        <w:ind w:left="0" w:leftChars="0" w:right="1104" w:firstLine="5372" w:firstLineChars="1700"/>
        <w:jc w:val="both"/>
        <w:textAlignment w:val="auto"/>
        <w:rPr>
          <w:rFonts w:hint="eastAsia" w:ascii="Times New Roman" w:hAnsi="Times New Roman" w:cs="方正仿宋_GBK"/>
          <w:kern w:val="0"/>
          <w:sz w:val="32"/>
          <w:szCs w:val="32"/>
          <w:lang w:val="en-US" w:eastAsia="zh-CN"/>
        </w:rPr>
      </w:pPr>
      <w:r>
        <w:rPr>
          <w:rFonts w:hint="eastAsia" w:ascii="Times New Roman" w:hAnsi="Times New Roman" w:cs="方正仿宋_GBK"/>
          <w:kern w:val="0"/>
          <w:sz w:val="32"/>
          <w:szCs w:val="32"/>
          <w:lang w:val="en-US" w:eastAsia="zh-CN"/>
        </w:rPr>
        <w:t>南通市商务局</w:t>
      </w:r>
    </w:p>
    <w:p w14:paraId="358CEE94">
      <w:pPr>
        <w:keepNext w:val="0"/>
        <w:keepLines w:val="0"/>
        <w:pageBreakBefore w:val="0"/>
        <w:widowControl w:val="0"/>
        <w:kinsoku/>
        <w:wordWrap/>
        <w:overflowPunct/>
        <w:topLinePunct w:val="0"/>
        <w:autoSpaceDE w:val="0"/>
        <w:autoSpaceDN w:val="0"/>
        <w:bidi w:val="0"/>
        <w:adjustRightInd/>
        <w:snapToGrid w:val="0"/>
        <w:spacing w:line="560" w:lineRule="exact"/>
        <w:ind w:left="0" w:leftChars="0" w:right="1104" w:firstLine="5334" w:firstLineChars="1688"/>
        <w:jc w:val="both"/>
        <w:textAlignment w:val="auto"/>
        <w:rPr>
          <w:rFonts w:hint="eastAsia" w:ascii="Times New Roman" w:hAnsi="Times New Roman" w:eastAsia="方正仿宋_GBK" w:cs="方正仿宋_GBK"/>
          <w:kern w:val="0"/>
          <w:sz w:val="32"/>
          <w:szCs w:val="32"/>
        </w:rPr>
      </w:pPr>
      <w:r>
        <w:rPr>
          <w:rFonts w:hint="eastAsia" w:ascii="Times New Roman" w:hAnsi="Times New Roman" w:cs="方正仿宋_GBK"/>
          <w:kern w:val="0"/>
          <w:sz w:val="32"/>
          <w:szCs w:val="32"/>
          <w:lang w:val="en-US" w:eastAsia="zh-CN"/>
        </w:rPr>
        <w:t>2024</w:t>
      </w:r>
      <w:r>
        <w:rPr>
          <w:rFonts w:hint="eastAsia" w:ascii="Times New Roman" w:hAnsi="Times New Roman" w:eastAsia="方正仿宋_GBK" w:cs="方正仿宋_GBK"/>
          <w:kern w:val="0"/>
          <w:sz w:val="32"/>
          <w:szCs w:val="32"/>
        </w:rPr>
        <w:t>年</w:t>
      </w:r>
      <w:r>
        <w:rPr>
          <w:rFonts w:hint="eastAsia" w:ascii="Times New Roman" w:hAnsi="Times New Roman" w:cs="方正仿宋_GBK"/>
          <w:kern w:val="0"/>
          <w:sz w:val="32"/>
          <w:szCs w:val="32"/>
          <w:lang w:val="en-US" w:eastAsia="zh-CN"/>
        </w:rPr>
        <w:t>9</w:t>
      </w:r>
      <w:r>
        <w:rPr>
          <w:rFonts w:hint="eastAsia" w:ascii="Times New Roman" w:hAnsi="Times New Roman" w:eastAsia="方正仿宋_GBK" w:cs="方正仿宋_GBK"/>
          <w:kern w:val="0"/>
          <w:sz w:val="32"/>
          <w:szCs w:val="32"/>
        </w:rPr>
        <w:t>月</w:t>
      </w:r>
      <w:r>
        <w:rPr>
          <w:rFonts w:hint="eastAsia" w:ascii="Times New Roman" w:hAnsi="Times New Roman" w:cs="方正仿宋_GBK"/>
          <w:kern w:val="0"/>
          <w:sz w:val="32"/>
          <w:szCs w:val="32"/>
          <w:lang w:val="en-US" w:eastAsia="zh-CN"/>
        </w:rPr>
        <w:t>15</w:t>
      </w:r>
      <w:r>
        <w:rPr>
          <w:rFonts w:hint="eastAsia" w:ascii="Times New Roman" w:hAnsi="Times New Roman" w:eastAsia="方正仿宋_GBK" w:cs="方正仿宋_GBK"/>
          <w:kern w:val="0"/>
          <w:sz w:val="32"/>
          <w:szCs w:val="32"/>
        </w:rPr>
        <w:t>日</w:t>
      </w:r>
    </w:p>
    <w:p w14:paraId="3334FBE4">
      <w:pPr>
        <w:keepNext w:val="0"/>
        <w:keepLines w:val="0"/>
        <w:pageBreakBefore w:val="0"/>
        <w:widowControl w:val="0"/>
        <w:tabs>
          <w:tab w:val="left" w:pos="2127"/>
          <w:tab w:val="left" w:pos="2576"/>
        </w:tabs>
        <w:kinsoku/>
        <w:wordWrap/>
        <w:overflowPunct/>
        <w:topLinePunct w:val="0"/>
        <w:autoSpaceDE w:val="0"/>
        <w:autoSpaceDN w:val="0"/>
        <w:bidi w:val="0"/>
        <w:adjustRightInd/>
        <w:snapToGrid w:val="0"/>
        <w:spacing w:line="560" w:lineRule="exact"/>
        <w:ind w:left="0" w:leftChars="0" w:firstLine="0" w:firstLineChars="0"/>
        <w:jc w:val="left"/>
        <w:textAlignment w:val="auto"/>
        <w:rPr>
          <w:rFonts w:hint="eastAsia" w:ascii="Times New Roman" w:hAnsi="Times New Roman" w:eastAsia="方正仿宋_GBK" w:cs="方正仿宋_GBK"/>
          <w:snapToGrid w:val="0"/>
          <w:kern w:val="0"/>
          <w:sz w:val="32"/>
          <w:szCs w:val="20"/>
        </w:rPr>
      </w:pPr>
    </w:p>
    <w:p w14:paraId="596AEC14">
      <w:pPr>
        <w:keepNext w:val="0"/>
        <w:keepLines w:val="0"/>
        <w:pageBreakBefore w:val="0"/>
        <w:widowControl w:val="0"/>
        <w:tabs>
          <w:tab w:val="left" w:pos="2127"/>
          <w:tab w:val="left" w:pos="2576"/>
        </w:tabs>
        <w:kinsoku/>
        <w:wordWrap/>
        <w:overflowPunct/>
        <w:topLinePunct w:val="0"/>
        <w:autoSpaceDE w:val="0"/>
        <w:autoSpaceDN w:val="0"/>
        <w:bidi w:val="0"/>
        <w:adjustRightInd/>
        <w:snapToGrid w:val="0"/>
        <w:spacing w:line="560" w:lineRule="exact"/>
        <w:ind w:left="0" w:leftChars="0" w:firstLine="0" w:firstLineChars="0"/>
        <w:jc w:val="left"/>
        <w:textAlignment w:val="auto"/>
        <w:rPr>
          <w:rFonts w:hint="eastAsia" w:ascii="Times New Roman" w:hAnsi="Times New Roman" w:eastAsia="方正仿宋_GBK" w:cs="方正仿宋_GBK"/>
          <w:snapToGrid w:val="0"/>
          <w:kern w:val="0"/>
          <w:sz w:val="32"/>
          <w:szCs w:val="20"/>
        </w:rPr>
      </w:pPr>
      <w:r>
        <w:rPr>
          <w:rFonts w:hint="eastAsia" w:ascii="Times New Roman" w:hAnsi="Times New Roman" w:eastAsia="方正仿宋_GBK" w:cs="方正仿宋_GBK"/>
          <w:snapToGrid w:val="0"/>
          <w:kern w:val="0"/>
          <w:sz w:val="32"/>
          <w:szCs w:val="20"/>
        </w:rPr>
        <w:t>联 系 人：贾曈彤</w:t>
      </w:r>
    </w:p>
    <w:p w14:paraId="28E1F5B4">
      <w:pPr>
        <w:keepNext w:val="0"/>
        <w:keepLines w:val="0"/>
        <w:pageBreakBefore w:val="0"/>
        <w:widowControl w:val="0"/>
        <w:tabs>
          <w:tab w:val="left" w:pos="2127"/>
          <w:tab w:val="left" w:pos="2576"/>
        </w:tabs>
        <w:kinsoku/>
        <w:wordWrap/>
        <w:overflowPunct/>
        <w:topLinePunct w:val="0"/>
        <w:autoSpaceDE w:val="0"/>
        <w:autoSpaceDN w:val="0"/>
        <w:bidi w:val="0"/>
        <w:adjustRightInd/>
        <w:snapToGrid w:val="0"/>
        <w:spacing w:line="560" w:lineRule="exact"/>
        <w:ind w:left="0" w:leftChars="0" w:firstLine="0" w:firstLineChars="0"/>
        <w:jc w:val="left"/>
        <w:textAlignment w:val="auto"/>
        <w:rPr>
          <w:rFonts w:hint="eastAsia" w:ascii="Times New Roman" w:hAnsi="Times New Roman" w:eastAsia="方正仿宋_GBK" w:cs="方正仿宋_GBK"/>
          <w:snapToGrid w:val="0"/>
          <w:kern w:val="0"/>
          <w:sz w:val="32"/>
          <w:szCs w:val="20"/>
        </w:rPr>
      </w:pPr>
      <w:r>
        <w:rPr>
          <w:rFonts w:hint="eastAsia" w:ascii="Times New Roman" w:hAnsi="Times New Roman" w:eastAsia="方正仿宋_GBK" w:cs="方正仿宋_GBK"/>
          <w:snapToGrid w:val="0"/>
          <w:kern w:val="0"/>
          <w:sz w:val="32"/>
          <w:szCs w:val="20"/>
        </w:rPr>
        <w:t>联系电话：85115235</w:t>
      </w:r>
      <w:bookmarkStart w:id="20" w:name="_GoBack"/>
      <w:bookmarkEnd w:id="20"/>
    </w:p>
    <w:p w14:paraId="4C4F6448">
      <w:pPr>
        <w:keepNext w:val="0"/>
        <w:keepLines w:val="0"/>
        <w:pageBreakBefore w:val="0"/>
        <w:widowControl w:val="0"/>
        <w:tabs>
          <w:tab w:val="left" w:pos="2127"/>
          <w:tab w:val="left" w:pos="2576"/>
        </w:tabs>
        <w:kinsoku/>
        <w:wordWrap/>
        <w:overflowPunct/>
        <w:topLinePunct w:val="0"/>
        <w:autoSpaceDE w:val="0"/>
        <w:autoSpaceDN w:val="0"/>
        <w:bidi w:val="0"/>
        <w:adjustRightInd/>
        <w:snapToGrid w:val="0"/>
        <w:spacing w:line="560" w:lineRule="exact"/>
        <w:ind w:left="0" w:leftChars="0" w:firstLine="0" w:firstLineChars="0"/>
        <w:jc w:val="left"/>
        <w:textAlignment w:val="auto"/>
        <w:rPr>
          <w:rFonts w:hint="eastAsia"/>
          <w:b/>
          <w:sz w:val="44"/>
          <w:szCs w:val="44"/>
          <w:lang w:eastAsia="zh-CN"/>
        </w:rPr>
      </w:pPr>
      <w:r>
        <w:rPr>
          <w:rFonts w:hint="eastAsia" w:ascii="Times New Roman" w:hAnsi="Times New Roman" w:eastAsia="方正仿宋_GBK" w:cs="方正仿宋_GBK"/>
          <w:snapToGrid w:val="0"/>
          <w:kern w:val="0"/>
          <w:sz w:val="32"/>
          <w:szCs w:val="20"/>
        </w:rPr>
        <w:t>抄    送：</w:t>
      </w:r>
      <w:r>
        <w:rPr>
          <w:rFonts w:hint="eastAsia" w:ascii="Times New Roman" w:hAnsi="Times New Roman" w:eastAsia="方正仿宋_GBK" w:cs="方正仿宋_GBK"/>
          <w:snapToGrid w:val="0"/>
          <w:kern w:val="32"/>
          <w:sz w:val="32"/>
          <w:szCs w:val="32"/>
          <w:lang w:eastAsia="zh-CN"/>
        </w:rPr>
        <w:t>市政协提案委、市政府办公室</w:t>
      </w:r>
    </w:p>
    <w:sectPr>
      <w:headerReference r:id="rId5" w:type="first"/>
      <w:footerReference r:id="rId8" w:type="first"/>
      <w:footerReference r:id="rId6" w:type="default"/>
      <w:footerReference r:id="rId7" w:type="even"/>
      <w:pgSz w:w="11906" w:h="16838"/>
      <w:pgMar w:top="1814" w:right="1531" w:bottom="1985" w:left="1531" w:header="720" w:footer="1474" w:gutter="0"/>
      <w:paperSrc w:first="15" w:other="15"/>
      <w:pgNumType w:start="1"/>
      <w:cols w:space="720" w:num="1"/>
      <w:titlePg/>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Book Antiqua">
    <w:panose1 w:val="02040602050305030304"/>
    <w:charset w:val="00"/>
    <w:family w:val="roman"/>
    <w:pitch w:val="default"/>
    <w:sig w:usb0="00000287" w:usb1="00000000" w:usb2="00000000" w:usb3="00000000" w:csb0="2000009F" w:csb1="DFD70000"/>
  </w:font>
  <w:font w:name="汉鼎简大宋">
    <w:altName w:val="宋体"/>
    <w:panose1 w:val="02010609010101010101"/>
    <w:charset w:val="86"/>
    <w:family w:val="modern"/>
    <w:pitch w:val="default"/>
    <w:sig w:usb0="00000000" w:usb1="00000000" w:usb2="00000010" w:usb3="00000000" w:csb0="00040000" w:csb1="00000000"/>
  </w:font>
  <w:font w:name="方正黑体_GBK">
    <w:panose1 w:val="03000509000000000000"/>
    <w:charset w:val="86"/>
    <w:family w:val="script"/>
    <w:pitch w:val="default"/>
    <w:sig w:usb0="00000001" w:usb1="080E0000" w:usb2="00000000" w:usb3="00000000" w:csb0="00040000" w:csb1="00000000"/>
  </w:font>
  <w:font w:name="汉鼎简仿宋">
    <w:altName w:val="宋体"/>
    <w:panose1 w:val="0201060901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6419B">
    <w:pPr>
      <w:pStyle w:val="6"/>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PAGE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cs="Times New Roma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B869B">
    <w:pPr>
      <w:pStyle w:val="6"/>
      <w:ind w:right="560"/>
      <w:jc w:val="both"/>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PAGE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F60A1">
    <w:pPr>
      <w:pStyle w:val="17"/>
      <w:snapToGrid w:val="0"/>
      <w:spacing w:after="120" w:line="120" w:lineRule="atLeast"/>
      <w:ind w:left="-57" w:right="-57"/>
      <w:rPr>
        <w:rFonts w:ascii="宋体"/>
      </w:rPr>
    </w:pPr>
    <w:bookmarkStart w:id="19" w:name="_1081337396"/>
    <w:bookmarkEnd w:id="19"/>
    <w:r>
      <w:rPr>
        <w:rFonts w:ascii="宋体" w:hAnsi="汉鼎简仿宋"/>
      </w:rPr>
      <w:object>
        <v:shape id="_x0000_i1025" o:spt="75" type="#_x0000_t75" style="height:6pt;width:445.15pt;" o:ole="t" fillcolor="#6D6D6D" filled="f" stroked="f" coordsize="21600,21600">
          <v:path/>
          <v:fill on="f" alignshape="1" focussize="0,0"/>
          <v:stroke on="f"/>
          <v:imagedata r:id="rId2" o:title=""/>
          <o:lock v:ext="edit" aspectratio="t"/>
          <w10:wrap type="none"/>
          <w10:anchorlock/>
        </v:shape>
        <o:OLEObject Type="Embed" ProgID="Word.Picture.8" ShapeID="_x0000_i1025" DrawAspect="Content" ObjectID="_1468075725" r:id="rId1">
          <o:LockedField>false</o:LockedField>
        </o:OLEObject>
      </w:obje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43204">
    <w:pPr>
      <w:keepNext w:val="0"/>
      <w:keepLines w:val="0"/>
      <w:pageBreakBefore w:val="0"/>
      <w:tabs>
        <w:tab w:val="left" w:pos="9193"/>
        <w:tab w:val="left" w:pos="9827"/>
      </w:tabs>
      <w:kinsoku/>
      <w:wordWrap/>
      <w:overflowPunct/>
      <w:topLinePunct w:val="0"/>
      <w:autoSpaceDE/>
      <w:autoSpaceDN/>
      <w:bidi w:val="0"/>
      <w:adjustRightInd/>
      <w:snapToGrid/>
      <w:spacing w:line="440" w:lineRule="exact"/>
      <w:ind w:firstLine="0"/>
      <w:jc w:val="right"/>
      <w:textAlignment w:val="auto"/>
      <w:rPr>
        <w:rFonts w:hint="eastAsia" w:ascii="方正黑体_GBK" w:hAnsi="方正黑体_GBK" w:eastAsia="方正黑体_GBK" w:cs="方正黑体_GBK"/>
        <w:snapToGrid/>
        <w:sz w:val="32"/>
        <w:szCs w:val="32"/>
        <w:lang w:val="en-US" w:eastAsia="zh-CN"/>
      </w:rPr>
    </w:pPr>
    <w:r>
      <w:rPr>
        <w:rFonts w:hint="eastAsia" w:ascii="方正黑体_GBK" w:hAnsi="方正黑体_GBK" w:eastAsia="方正黑体_GBK" w:cs="方正黑体_GBK"/>
        <w:snapToGrid/>
        <w:sz w:val="32"/>
        <w:szCs w:val="32"/>
        <w:lang w:val="en-US" w:eastAsia="zh-CN"/>
      </w:rPr>
      <w:t>A</w:t>
    </w:r>
  </w:p>
  <w:p w14:paraId="26E9CA0E">
    <w:pPr>
      <w:pStyle w:val="8"/>
      <w:keepNext w:val="0"/>
      <w:keepLines w:val="0"/>
      <w:pageBreakBefore w:val="0"/>
      <w:kinsoku/>
      <w:wordWrap/>
      <w:overflowPunct/>
      <w:topLinePunct w:val="0"/>
      <w:autoSpaceDE/>
      <w:autoSpaceDN/>
      <w:bidi w:val="0"/>
      <w:adjustRightInd/>
      <w:snapToGrid/>
      <w:spacing w:line="440" w:lineRule="exact"/>
      <w:jc w:val="right"/>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lang w:val="en-US" w:eastAsia="zh-CN"/>
      </w:rPr>
      <w:t>公开</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evenAndOddHeaders w:val="1"/>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2Y5YmI3ODY2MDc0ZDkyZGJhYWU3NzM0ZGIzNjRmYzMifQ=="/>
  </w:docVars>
  <w:rsids>
    <w:rsidRoot w:val="6E832260"/>
    <w:rsid w:val="000A08E7"/>
    <w:rsid w:val="0011031D"/>
    <w:rsid w:val="00224CEE"/>
    <w:rsid w:val="002E5B14"/>
    <w:rsid w:val="00483704"/>
    <w:rsid w:val="0064023B"/>
    <w:rsid w:val="0068424F"/>
    <w:rsid w:val="00765A10"/>
    <w:rsid w:val="00786A63"/>
    <w:rsid w:val="007E25B0"/>
    <w:rsid w:val="009568CF"/>
    <w:rsid w:val="00982475"/>
    <w:rsid w:val="00993108"/>
    <w:rsid w:val="00A36005"/>
    <w:rsid w:val="00B61886"/>
    <w:rsid w:val="00BB3630"/>
    <w:rsid w:val="00CC3ECD"/>
    <w:rsid w:val="00D41A24"/>
    <w:rsid w:val="00E00085"/>
    <w:rsid w:val="00E40CBC"/>
    <w:rsid w:val="00ED25D5"/>
    <w:rsid w:val="00ED687C"/>
    <w:rsid w:val="00F47B5B"/>
    <w:rsid w:val="1E5063A1"/>
    <w:rsid w:val="24F920B5"/>
    <w:rsid w:val="28267917"/>
    <w:rsid w:val="330B5ED8"/>
    <w:rsid w:val="36201528"/>
    <w:rsid w:val="37E6581D"/>
    <w:rsid w:val="39BA2D80"/>
    <w:rsid w:val="3B6B264B"/>
    <w:rsid w:val="428D254A"/>
    <w:rsid w:val="4440141F"/>
    <w:rsid w:val="60C45B59"/>
    <w:rsid w:val="6E832260"/>
    <w:rsid w:val="72201EA6"/>
    <w:rsid w:val="783D58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autoSpaceDE w:val="0"/>
      <w:autoSpaceDN w:val="0"/>
      <w:snapToGrid w:val="0"/>
      <w:spacing w:line="590" w:lineRule="atLeast"/>
      <w:ind w:firstLine="624"/>
      <w:jc w:val="both"/>
    </w:pPr>
    <w:rPr>
      <w:rFonts w:ascii="方正仿宋_GBK" w:hAnsi="Calibri" w:eastAsia="方正仿宋_GBK" w:cs="Times New Roman"/>
      <w:snapToGrid w:val="0"/>
      <w:sz w:val="3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paragraph" w:styleId="3">
    <w:name w:val="heading 2"/>
    <w:basedOn w:val="1"/>
    <w:next w:val="1"/>
    <w:qFormat/>
    <w:uiPriority w:val="0"/>
    <w:pPr>
      <w:keepNext/>
      <w:keepLines/>
      <w:framePr w:hSpace="181" w:vSpace="181" w:wrap="notBeside" w:vAnchor="text" w:hAnchor="text" w:y="1"/>
      <w:ind w:firstLine="0"/>
      <w:jc w:val="center"/>
      <w:outlineLvl w:val="1"/>
    </w:pPr>
    <w:rPr>
      <w:rFonts w:ascii="Arial" w:hAnsi="Arial" w:eastAsia="楷体"/>
    </w:rPr>
  </w:style>
  <w:style w:type="paragraph" w:styleId="4">
    <w:name w:val="heading 3"/>
    <w:basedOn w:val="1"/>
    <w:next w:val="5"/>
    <w:qFormat/>
    <w:uiPriority w:val="0"/>
    <w:pPr>
      <w:keepNext/>
      <w:keepLines/>
      <w:spacing w:before="260" w:after="260" w:line="416" w:lineRule="atLeast"/>
      <w:outlineLvl w:val="2"/>
    </w:pPr>
    <w:rPr>
      <w:b/>
    </w:rPr>
  </w:style>
  <w:style w:type="character" w:default="1" w:styleId="10">
    <w:name w:val="Default Paragraph Font"/>
    <w:semiHidden/>
    <w:qFormat/>
    <w:uiPriority w:val="0"/>
  </w:style>
  <w:style w:type="table" w:default="1" w:styleId="9">
    <w:name w:val="Normal Table"/>
    <w:semiHidden/>
    <w:qFormat/>
    <w:uiPriority w:val="0"/>
    <w:tblPr>
      <w:tblStyle w:val="9"/>
      <w:tblCellMar>
        <w:top w:w="0" w:type="dxa"/>
        <w:left w:w="108" w:type="dxa"/>
        <w:bottom w:w="0" w:type="dxa"/>
        <w:right w:w="108" w:type="dxa"/>
      </w:tblCellMar>
    </w:tblPr>
  </w:style>
  <w:style w:type="paragraph" w:styleId="5">
    <w:name w:val="Normal Indent"/>
    <w:basedOn w:val="1"/>
    <w:next w:val="1"/>
    <w:qFormat/>
    <w:uiPriority w:val="0"/>
    <w:pPr>
      <w:adjustRightInd w:val="0"/>
      <w:snapToGrid/>
      <w:ind w:firstLine="0"/>
      <w:jc w:val="left"/>
    </w:pPr>
    <w:rPr>
      <w:spacing w:val="-25"/>
    </w:rPr>
  </w:style>
  <w:style w:type="paragraph" w:styleId="6">
    <w:name w:val="footer"/>
    <w:basedOn w:val="1"/>
    <w:qFormat/>
    <w:uiPriority w:val="0"/>
    <w:pPr>
      <w:tabs>
        <w:tab w:val="center" w:pos="4153"/>
        <w:tab w:val="right" w:pos="8306"/>
      </w:tabs>
      <w:spacing w:line="400" w:lineRule="atLeast"/>
      <w:ind w:firstLine="0"/>
      <w:jc w:val="right"/>
    </w:pPr>
    <w:rPr>
      <w:rFonts w:ascii="Times New Roman"/>
      <w:sz w:val="28"/>
      <w:szCs w:val="21"/>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paragraph" w:styleId="8">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szCs w:val="21"/>
    </w:rPr>
  </w:style>
  <w:style w:type="character" w:styleId="11">
    <w:name w:val="page number"/>
    <w:basedOn w:val="10"/>
    <w:qFormat/>
    <w:uiPriority w:val="0"/>
  </w:style>
  <w:style w:type="character" w:styleId="12">
    <w:name w:val="Hyperlink"/>
    <w:basedOn w:val="10"/>
    <w:unhideWhenUsed/>
    <w:qFormat/>
    <w:uiPriority w:val="99"/>
    <w:rPr>
      <w:color w:val="0000FF"/>
      <w:u w:val="single"/>
    </w:rPr>
  </w:style>
  <w:style w:type="paragraph" w:styleId="13">
    <w:name w:val="List Paragraph"/>
    <w:basedOn w:val="1"/>
    <w:qFormat/>
    <w:uiPriority w:val="34"/>
    <w:pPr>
      <w:ind w:firstLine="420" w:firstLineChars="200"/>
    </w:pPr>
  </w:style>
  <w:style w:type="paragraph" w:customStyle="1" w:styleId="14">
    <w:name w:val="标题1"/>
    <w:basedOn w:val="1"/>
    <w:next w:val="1"/>
    <w:qFormat/>
    <w:uiPriority w:val="0"/>
    <w:pPr>
      <w:tabs>
        <w:tab w:val="left" w:pos="9193"/>
        <w:tab w:val="left" w:pos="9827"/>
      </w:tabs>
      <w:spacing w:line="700" w:lineRule="atLeast"/>
      <w:ind w:firstLine="0"/>
      <w:jc w:val="center"/>
    </w:pPr>
    <w:rPr>
      <w:rFonts w:ascii="方正小标宋_GBK" w:eastAsia="方正小标宋_GBK"/>
      <w:sz w:val="44"/>
    </w:rPr>
  </w:style>
  <w:style w:type="paragraph" w:customStyle="1" w:styleId="15">
    <w:name w:val="标题2"/>
    <w:basedOn w:val="1"/>
    <w:next w:val="1"/>
    <w:qFormat/>
    <w:uiPriority w:val="0"/>
    <w:pPr>
      <w:ind w:firstLine="0"/>
      <w:jc w:val="center"/>
    </w:pPr>
    <w:rPr>
      <w:rFonts w:ascii="方正楷体_GBK" w:hAnsi="Book Antiqua" w:eastAsia="方正楷体_GBK"/>
    </w:rPr>
  </w:style>
  <w:style w:type="paragraph" w:customStyle="1" w:styleId="16">
    <w:name w:val="文头"/>
    <w:basedOn w:val="17"/>
    <w:qFormat/>
    <w:uiPriority w:val="0"/>
    <w:pPr>
      <w:spacing w:before="320" w:after="0"/>
      <w:ind w:left="227" w:right="227"/>
      <w:jc w:val="distribute"/>
    </w:pPr>
    <w:rPr>
      <w:rFonts w:ascii="汉鼎简大宋" w:eastAsia="汉鼎简大宋"/>
      <w:color w:val="FF0000"/>
      <w:spacing w:val="36"/>
      <w:w w:val="82"/>
      <w:sz w:val="90"/>
    </w:rPr>
  </w:style>
  <w:style w:type="paragraph" w:customStyle="1" w:styleId="17">
    <w:name w:val="红线"/>
    <w:basedOn w:val="1"/>
    <w:qFormat/>
    <w:uiPriority w:val="0"/>
    <w:pPr>
      <w:autoSpaceDE w:val="0"/>
      <w:autoSpaceDN w:val="0"/>
      <w:adjustRightInd w:val="0"/>
      <w:snapToGrid/>
      <w:spacing w:after="170" w:line="227" w:lineRule="atLeast"/>
      <w:ind w:firstLine="0"/>
      <w:jc w:val="center"/>
    </w:pPr>
    <w:rPr>
      <w:spacing w:val="0"/>
      <w:kern w:val="0"/>
      <w:sz w:val="10"/>
    </w:rPr>
  </w:style>
  <w:style w:type="paragraph" w:customStyle="1" w:styleId="18">
    <w:name w:val="标题3"/>
    <w:basedOn w:val="1"/>
    <w:next w:val="1"/>
    <w:qFormat/>
    <w:uiPriority w:val="0"/>
    <w:rPr>
      <w:rFonts w:ascii="方正黑体_GBK" w:eastAsia="方正黑体_GBK"/>
    </w:rPr>
  </w:style>
  <w:style w:type="paragraph" w:customStyle="1" w:styleId="19">
    <w:name w:val="主题词"/>
    <w:basedOn w:val="1"/>
    <w:qFormat/>
    <w:uiPriority w:val="0"/>
    <w:pPr>
      <w:adjustRightInd w:val="0"/>
      <w:snapToGrid/>
      <w:ind w:firstLine="0"/>
      <w:jc w:val="left"/>
    </w:pPr>
    <w:rPr>
      <w:rFonts w:ascii="方正小标宋_GBK" w:eastAsia="方正黑体_GBK"/>
    </w:rPr>
  </w:style>
  <w:style w:type="paragraph" w:customStyle="1" w:styleId="20">
    <w:name w:val="抄送栏"/>
    <w:basedOn w:val="1"/>
    <w:qFormat/>
    <w:uiPriority w:val="0"/>
    <w:pPr>
      <w:adjustRightInd w:val="0"/>
      <w:snapToGrid/>
      <w:ind w:left="953" w:hanging="953"/>
    </w:pPr>
    <w:rPr>
      <w:spacing w:val="0"/>
      <w:kern w:val="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footer3.xml.rels><?xml version="1.0" encoding="UTF-8" standalone="yes"?>
<Relationships xmlns="http://schemas.openxmlformats.org/package/2006/relationships"><Relationship Id="rId2" Type="http://schemas.openxmlformats.org/officeDocument/2006/relationships/image" Target="media/image1.wmf"/><Relationship Id="rId1"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2024&#24180;&#25991;&#26723;\&#27169;&#29256;\&#21335;&#36890;&#24066;&#21830;&#21153;&#23616;&#32418;&#22836;&#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南通市商务局红头模版.dot</Template>
  <Pages>7</Pages>
  <Words>6</Words>
  <Characters>6</Characters>
  <Lines>1</Lines>
  <Paragraphs>1</Paragraphs>
  <TotalTime>1</TotalTime>
  <ScaleCrop>false</ScaleCrop>
  <LinksUpToDate>false</LinksUpToDate>
  <CharactersWithSpaces>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2024-09-23T06:39:00Z</dcterms:created>
  <dc:creator>翻不完的日历</dc:creator>
  <cp:lastModifiedBy>翻不完的日历</cp:lastModifiedBy>
  <dcterms:modified xsi:type="dcterms:W3CDTF">2024-09-23T06:42:50Z</dcterms:modified>
  <dc:title>苏政办函模板</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43497EDAE5BE4D2C884AF5A88B4EC1B7_11</vt:lpwstr>
  </property>
</Properties>
</file>