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63F46">
      <w:pPr>
        <w:pStyle w:val="18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78C76362">
      <w:pPr>
        <w:pStyle w:val="19"/>
        <w:snapToGrid w:val="0"/>
        <w:spacing w:after="120" w:line="120" w:lineRule="atLeast"/>
        <w:ind w:left="-57" w:right="-57"/>
        <w:rPr>
          <w:rFonts w:ascii="宋体"/>
        </w:rPr>
      </w:pPr>
      <w:bookmarkStart w:id="0" w:name="_1081336902"/>
      <w:bookmarkEnd w:id="0"/>
      <w:bookmarkStart w:id="1" w:name="_1081336779"/>
      <w:bookmarkEnd w:id="1"/>
      <w:bookmarkStart w:id="2" w:name="_988455526"/>
      <w:bookmarkEnd w:id="2"/>
      <w:bookmarkStart w:id="3" w:name="_988455233"/>
      <w:bookmarkEnd w:id="3"/>
      <w:bookmarkStart w:id="4" w:name="_1081335927"/>
      <w:bookmarkEnd w:id="4"/>
      <w:bookmarkStart w:id="5" w:name="_1081336852"/>
      <w:bookmarkEnd w:id="5"/>
      <w:bookmarkStart w:id="6" w:name="_988455212"/>
      <w:bookmarkEnd w:id="6"/>
      <w:bookmarkStart w:id="7" w:name="_988455157"/>
      <w:bookmarkEnd w:id="7"/>
      <w:bookmarkStart w:id="8" w:name="_1081336172"/>
      <w:bookmarkEnd w:id="8"/>
      <w:bookmarkStart w:id="9" w:name="_988455673"/>
      <w:bookmarkEnd w:id="9"/>
      <w:bookmarkStart w:id="10" w:name="_988455626"/>
      <w:bookmarkEnd w:id="10"/>
      <w:bookmarkStart w:id="11" w:name="_1081336936"/>
      <w:bookmarkEnd w:id="11"/>
      <w:bookmarkStart w:id="12" w:name="_1081336766"/>
      <w:bookmarkEnd w:id="12"/>
      <w:bookmarkStart w:id="13" w:name="_988456248"/>
      <w:bookmarkEnd w:id="13"/>
      <w:bookmarkStart w:id="14" w:name="_988455599"/>
      <w:bookmarkEnd w:id="14"/>
      <w:bookmarkStart w:id="15" w:name="_1081336878"/>
      <w:bookmarkEnd w:id="15"/>
      <w:bookmarkStart w:id="16" w:name="_988455575"/>
      <w:bookmarkEnd w:id="16"/>
      <w:bookmarkStart w:id="17" w:name="_1081336197"/>
      <w:bookmarkEnd w:id="17"/>
      <w:bookmarkStart w:id="18" w:name="_988455645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7AF25FD4">
      <w:pPr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</w:p>
    <w:p w14:paraId="77E49617">
      <w:pPr>
        <w:keepNext w:val="0"/>
        <w:keepLines w:val="0"/>
        <w:pageBreakBefore w:val="0"/>
        <w:kinsoku/>
        <w:wordWrap/>
        <w:topLinePunct w:val="0"/>
        <w:autoSpaceDE w:val="0"/>
        <w:autoSpaceDN w:val="0"/>
        <w:bidi w:val="0"/>
        <w:snapToGrid w:val="0"/>
        <w:spacing w:line="560" w:lineRule="exact"/>
        <w:ind w:left="0" w:leftChars="0" w:right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snapToGrid w:val="0"/>
          <w:spacing w:val="0"/>
          <w:kern w:val="3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 w:val="0"/>
          <w:spacing w:val="0"/>
          <w:kern w:val="32"/>
          <w:sz w:val="32"/>
          <w:szCs w:val="32"/>
          <w:lang w:eastAsia="zh-CN"/>
        </w:rPr>
        <w:t>通商复字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32"/>
          <w:sz w:val="32"/>
          <w:szCs w:val="32"/>
        </w:rPr>
        <w:t>﹝2024﹞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32"/>
          <w:sz w:val="32"/>
          <w:szCs w:val="32"/>
          <w:lang w:val="en-US" w:eastAsia="zh-CN"/>
        </w:rPr>
        <w:t>51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32"/>
          <w:sz w:val="32"/>
          <w:szCs w:val="32"/>
        </w:rPr>
        <w:t>号                 签发人：</w:t>
      </w:r>
      <w:r>
        <w:rPr>
          <w:rFonts w:hint="eastAsia" w:ascii="方正楷体_GBK" w:hAnsi="方正楷体_GBK" w:eastAsia="方正楷体_GBK" w:cs="方正楷体_GBK"/>
          <w:snapToGrid w:val="0"/>
          <w:spacing w:val="0"/>
          <w:kern w:val="32"/>
          <w:sz w:val="32"/>
          <w:szCs w:val="32"/>
          <w:lang w:eastAsia="zh-CN"/>
        </w:rPr>
        <w:t>高洪军</w:t>
      </w:r>
    </w:p>
    <w:p w14:paraId="53BEFC4D">
      <w:pPr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/>
        <w:jc w:val="both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</w:p>
    <w:p w14:paraId="6D9803FD">
      <w:pPr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对市政协十三届三次会议第0302号提案的答复</w:t>
      </w:r>
    </w:p>
    <w:p w14:paraId="5AE92259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</w:pPr>
    </w:p>
    <w:p w14:paraId="71038AA8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</w:pPr>
      <w:r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  <w:t>市工商联：</w:t>
      </w:r>
    </w:p>
    <w:p w14:paraId="4786C8AE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</w:pPr>
      <w:r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  <w:t>贵单位提出的《关于进一步加快数字贸易进程的建议》提案收悉，现答复如下：</w:t>
      </w:r>
    </w:p>
    <w:p w14:paraId="1D8E94D0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right="0" w:firstLine="632" w:firstLineChars="200"/>
        <w:jc w:val="both"/>
        <w:textAlignment w:val="auto"/>
        <w:rPr>
          <w:rFonts w:ascii="Times New Roman" w:hAnsi="Times New Roman" w:eastAsia="方正仿宋_GBK"/>
          <w:spacing w:val="0"/>
          <w:kern w:val="2"/>
          <w:sz w:val="32"/>
          <w:szCs w:val="32"/>
        </w:rPr>
      </w:pPr>
      <w:r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  <w:t>近年来，我市数字贸易蓬勃发展，逐渐成为推动我市贸易高质量发展的重要动能。围绕市委市政府工作部署，市商务局深入落实《南通市服务外包繁荣发展三年行动实施方案（2022-2024年）》和《关于加快企业总部南通基地招引建设工作的行动方案》，紧抓以数字技术、数字经济为引领的新一代科技革命和产业变革机遇，在原有离岸服务外包业务基础上，推动我市服务外包数字化、智能化、高端化融合转型，全力助推南通数字贸易发展再上新台阶。</w:t>
      </w:r>
    </w:p>
    <w:p w14:paraId="75A84C65">
      <w:pPr>
        <w:keepNext w:val="0"/>
        <w:keepLines w:val="0"/>
        <w:pageBreakBefore w:val="0"/>
        <w:kinsoku/>
        <w:wordWrap/>
        <w:topLinePunct w:val="0"/>
        <w:bidi w:val="0"/>
        <w:adjustRightInd w:val="0"/>
        <w:snapToGrid w:val="0"/>
        <w:spacing w:line="560" w:lineRule="exact"/>
        <w:ind w:right="0" w:firstLine="632" w:firstLineChars="200"/>
        <w:jc w:val="both"/>
        <w:textAlignment w:val="auto"/>
        <w:rPr>
          <w:rFonts w:ascii="方正黑体_GBK" w:hAnsi="方正黑体_GBK" w:eastAsia="方正黑体_GBK" w:cs="方正黑体_GBK"/>
          <w:spacing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0"/>
          <w:sz w:val="32"/>
          <w:szCs w:val="32"/>
        </w:rPr>
        <w:t>一、已开展工作</w:t>
      </w:r>
    </w:p>
    <w:p w14:paraId="69916895">
      <w:pPr>
        <w:keepNext w:val="0"/>
        <w:keepLines w:val="0"/>
        <w:pageBreakBefore w:val="0"/>
        <w:kinsoku/>
        <w:wordWrap/>
        <w:topLinePunct w:val="0"/>
        <w:bidi w:val="0"/>
        <w:adjustRightIn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楷体_GBK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方正楷体_GBK"/>
          <w:spacing w:val="0"/>
          <w:kern w:val="0"/>
          <w:sz w:val="32"/>
          <w:szCs w:val="32"/>
        </w:rPr>
        <w:t>（一）</w:t>
      </w:r>
      <w:r>
        <w:rPr>
          <w:rFonts w:ascii="Times New Roman" w:hAnsi="Times New Roman" w:eastAsia="方正楷体_GBK"/>
          <w:spacing w:val="0"/>
          <w:kern w:val="0"/>
          <w:sz w:val="32"/>
          <w:szCs w:val="32"/>
        </w:rPr>
        <w:t>持续提升产业能级。</w:t>
      </w:r>
    </w:p>
    <w:p w14:paraId="4ABD0776">
      <w:pPr>
        <w:keepNext w:val="0"/>
        <w:keepLines w:val="0"/>
        <w:pageBreakBefore w:val="0"/>
        <w:kinsoku/>
        <w:wordWrap/>
        <w:topLinePunct w:val="0"/>
        <w:bidi w:val="0"/>
        <w:adjustRightInd w:val="0"/>
        <w:spacing w:line="560" w:lineRule="exact"/>
        <w:ind w:right="0" w:firstLine="632" w:firstLineChars="200"/>
        <w:jc w:val="both"/>
        <w:textAlignment w:val="auto"/>
        <w:rPr>
          <w:spacing w:val="0"/>
          <w:szCs w:val="32"/>
        </w:rPr>
      </w:pP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202</w:t>
      </w:r>
      <w:r>
        <w:rPr>
          <w:rFonts w:hint="eastAsia" w:ascii="Times New Roman" w:hAnsi="Times New Roman" w:eastAsia="方正仿宋_GBK"/>
          <w:snapToGrid w:val="0"/>
          <w:spacing w:val="0"/>
          <w:kern w:val="0"/>
          <w:sz w:val="32"/>
          <w:szCs w:val="32"/>
        </w:rPr>
        <w:t>3</w:t>
      </w: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年，全市服务外包执行额、离岸执行额</w:t>
      </w:r>
      <w:r>
        <w:rPr>
          <w:rFonts w:hint="eastAsia" w:ascii="Times New Roman" w:hAnsi="Times New Roman" w:eastAsia="方正仿宋_GBK"/>
          <w:snapToGrid w:val="0"/>
          <w:spacing w:val="0"/>
          <w:kern w:val="0"/>
          <w:sz w:val="32"/>
          <w:szCs w:val="32"/>
        </w:rPr>
        <w:t>110.29亿美元</w:t>
      </w: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仿宋_GBK"/>
          <w:snapToGrid w:val="0"/>
          <w:spacing w:val="0"/>
          <w:kern w:val="0"/>
          <w:sz w:val="32"/>
          <w:szCs w:val="32"/>
        </w:rPr>
        <w:t>66</w:t>
      </w: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亿美元，总量居全省第4。202</w:t>
      </w:r>
      <w:r>
        <w:rPr>
          <w:rFonts w:hint="eastAsia" w:ascii="Times New Roman" w:hAnsi="Times New Roman" w:eastAsia="方正仿宋_GBK"/>
          <w:snapToGrid w:val="0"/>
          <w:spacing w:val="0"/>
          <w:kern w:val="0"/>
          <w:sz w:val="32"/>
          <w:szCs w:val="32"/>
        </w:rPr>
        <w:t>3</w:t>
      </w: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年，全市服务贸易进出口额</w:t>
      </w:r>
      <w:r>
        <w:rPr>
          <w:rFonts w:hint="eastAsia" w:ascii="Times New Roman" w:hAnsi="Times New Roman" w:eastAsia="方正仿宋_GBK"/>
          <w:snapToGrid w:val="0"/>
          <w:spacing w:val="0"/>
          <w:kern w:val="0"/>
          <w:sz w:val="32"/>
          <w:szCs w:val="32"/>
        </w:rPr>
        <w:t>47.4</w:t>
      </w: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亿美元，可数字化交付服务贸易总额</w:t>
      </w:r>
      <w:r>
        <w:rPr>
          <w:rFonts w:hint="eastAsia" w:ascii="Times New Roman" w:hAnsi="Times New Roman" w:eastAsia="方正仿宋_GBK"/>
          <w:snapToGrid w:val="0"/>
          <w:spacing w:val="0"/>
          <w:kern w:val="0"/>
          <w:sz w:val="32"/>
          <w:szCs w:val="32"/>
        </w:rPr>
        <w:t>超</w:t>
      </w:r>
      <w:r>
        <w:rPr>
          <w:rFonts w:ascii="Times New Roman" w:hAnsi="Times New Roman" w:eastAsia="方正仿宋_GBK"/>
          <w:snapToGrid w:val="0"/>
          <w:spacing w:val="0"/>
          <w:kern w:val="0"/>
          <w:sz w:val="32"/>
          <w:szCs w:val="32"/>
        </w:rPr>
        <w:t>12亿美元。</w:t>
      </w:r>
    </w:p>
    <w:p w14:paraId="1BC598E8">
      <w:pPr>
        <w:pStyle w:val="6"/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eastAsia="方正楷体_GBK"/>
          <w:spacing w:val="0"/>
          <w:szCs w:val="32"/>
        </w:rPr>
      </w:pPr>
      <w:r>
        <w:rPr>
          <w:rFonts w:hint="eastAsia" w:ascii="Times New Roman" w:eastAsia="方正楷体_GBK"/>
          <w:spacing w:val="0"/>
          <w:szCs w:val="32"/>
        </w:rPr>
        <w:t>（二）强化企业主体引培</w:t>
      </w:r>
      <w:r>
        <w:rPr>
          <w:rFonts w:ascii="Times New Roman" w:eastAsia="方正楷体_GBK"/>
          <w:spacing w:val="0"/>
          <w:szCs w:val="32"/>
        </w:rPr>
        <w:t>。</w:t>
      </w:r>
    </w:p>
    <w:p w14:paraId="018F6639">
      <w:pPr>
        <w:pStyle w:val="6"/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eastAsia="方正楷体_GBK"/>
          <w:spacing w:val="0"/>
          <w:szCs w:val="32"/>
        </w:rPr>
      </w:pPr>
      <w:r>
        <w:rPr>
          <w:rFonts w:hint="eastAsia" w:ascii="Times New Roman"/>
          <w:snapToGrid/>
          <w:spacing w:val="0"/>
          <w:szCs w:val="32"/>
        </w:rPr>
        <w:t>举办2023全球服务外包大会（南通）峰会暨南通数字贸易创新发展峰会、南通市与跨国公司总部对接会、日资企业专场政企对接会等重点活动，央视、江苏卫视等近20家中央和省级媒体进行报道，提升“南通服务”影响力。推动板块开展“崇文重商 加数奔跑”数字文化产业推介会、中国模式动物大会等数字文化、生物医药类招商专题活动近60场，以活动为引领，三井摩德克、新加坡瀚辰等30家优质数字贸易企业落户。</w:t>
      </w:r>
    </w:p>
    <w:p w14:paraId="78860D79">
      <w:pPr>
        <w:pStyle w:val="6"/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eastAsia="方正楷体_GBK"/>
          <w:spacing w:val="0"/>
          <w:szCs w:val="32"/>
        </w:rPr>
      </w:pPr>
      <w:r>
        <w:rPr>
          <w:rFonts w:hint="eastAsia" w:ascii="Times New Roman" w:eastAsia="方正楷体_GBK"/>
          <w:spacing w:val="0"/>
          <w:szCs w:val="32"/>
        </w:rPr>
        <w:t>（三）</w:t>
      </w:r>
      <w:r>
        <w:rPr>
          <w:rFonts w:ascii="Times New Roman" w:eastAsia="方正楷体_GBK"/>
          <w:spacing w:val="0"/>
          <w:szCs w:val="32"/>
        </w:rPr>
        <w:t>加快打造创新集群。</w:t>
      </w:r>
    </w:p>
    <w:p w14:paraId="683D39A3">
      <w:pPr>
        <w:pStyle w:val="7"/>
        <w:keepNext w:val="0"/>
        <w:keepLines w:val="0"/>
        <w:pageBreakBefore w:val="0"/>
        <w:kinsoku/>
        <w:wordWrap/>
        <w:topLinePunct w:val="0"/>
        <w:bidi w:val="0"/>
        <w:adjustRightInd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0"/>
          <w:kern w:val="0"/>
          <w:sz w:val="32"/>
          <w:szCs w:val="32"/>
        </w:rPr>
        <w:t>服务外包加速向数字化、智能化、高端化转型，形成了以凌志软件、海隆华思为代表的软件研发，以药明康德、百奥赛图为代表的医药研发，以东丽纤维、爱信精机为代表的工业设计，以中远船务、惠生重工为代表的研发设计维修维护，以美团、携程为代表的互联网新经济，以银河航天、天正信息为代表的航天互联、地理信息等特色产业集群，构建了较为完善的数字贸易生态圈。</w:t>
      </w:r>
    </w:p>
    <w:p w14:paraId="3C5552B0">
      <w:pPr>
        <w:pStyle w:val="7"/>
        <w:keepNext w:val="0"/>
        <w:keepLines w:val="0"/>
        <w:pageBreakBefore w:val="0"/>
        <w:kinsoku/>
        <w:wordWrap/>
        <w:topLinePunct w:val="0"/>
        <w:bidi w:val="0"/>
        <w:adjustRightInd w:val="0"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楷体_GBK" w:cs="Times New Roman"/>
          <w:snapToGrid w:val="0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snapToGrid w:val="0"/>
          <w:spacing w:val="0"/>
          <w:kern w:val="0"/>
          <w:sz w:val="32"/>
          <w:szCs w:val="32"/>
        </w:rPr>
        <w:t>（四）</w:t>
      </w:r>
      <w:r>
        <w:rPr>
          <w:rFonts w:ascii="Times New Roman" w:hAnsi="Times New Roman" w:eastAsia="方正楷体_GBK" w:cs="Times New Roman"/>
          <w:snapToGrid w:val="0"/>
          <w:spacing w:val="0"/>
          <w:kern w:val="0"/>
          <w:sz w:val="32"/>
          <w:szCs w:val="32"/>
        </w:rPr>
        <w:t>着力优化空间布局。</w:t>
      </w:r>
    </w:p>
    <w:p w14:paraId="13F02D13">
      <w:pPr>
        <w:pStyle w:val="7"/>
        <w:keepNext w:val="0"/>
        <w:keepLines w:val="0"/>
        <w:pageBreakBefore w:val="0"/>
        <w:kinsoku/>
        <w:wordWrap/>
        <w:topLinePunct w:val="0"/>
        <w:bidi w:val="0"/>
        <w:adjustRightInd w:val="0"/>
        <w:snapToGrid w:val="0"/>
        <w:spacing w:line="560" w:lineRule="exact"/>
        <w:ind w:right="0" w:firstLine="632" w:firstLineChars="200"/>
        <w:jc w:val="both"/>
        <w:textAlignment w:val="auto"/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</w:pP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加快构建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“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一核两翼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”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服务外包、数字贸易发展新格局，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“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一核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”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以南通信创园、市北高新科技城、国际服务外包产业园等为代表，重点发展软件研发、集成电路、在线新经济等；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“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北翼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”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以海安软件园、如皋软件园、如东生命健康产业园等为代表，聚力发展机器人、半导体封装测试、地理信息等领域；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“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南翼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zh-CN"/>
        </w:rPr>
        <w:t>”</w:t>
      </w:r>
      <w:r>
        <w:rPr>
          <w:rFonts w:ascii="Times New Roman" w:hAnsi="Times New Roman" w:eastAsia="方正仿宋_GBK" w:cs="Times New Roman"/>
          <w:spacing w:val="0"/>
          <w:sz w:val="32"/>
          <w:szCs w:val="32"/>
          <w:lang w:val="zh-CN"/>
        </w:rPr>
        <w:t>以海门临江生物医药科技创业园、启东生命健康科技城等为代表，重点发展精准医疗、模式动物等。</w:t>
      </w:r>
    </w:p>
    <w:p w14:paraId="0B5B78D5">
      <w:pPr>
        <w:keepNext w:val="0"/>
        <w:keepLines w:val="0"/>
        <w:pageBreakBefore w:val="0"/>
        <w:kinsoku/>
        <w:wordWrap/>
        <w:topLinePunct w:val="0"/>
        <w:bidi w:val="0"/>
        <w:adjustRightIn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  <w:t>（五）</w:t>
      </w:r>
      <w:r>
        <w:rPr>
          <w:rFonts w:ascii="Times New Roman" w:hAnsi="Times New Roman" w:eastAsia="方正楷体_GBK"/>
          <w:snapToGrid w:val="0"/>
          <w:spacing w:val="0"/>
          <w:kern w:val="0"/>
          <w:sz w:val="32"/>
          <w:szCs w:val="32"/>
        </w:rPr>
        <w:t>大力吸纳创新人才。</w:t>
      </w:r>
    </w:p>
    <w:p w14:paraId="0985693A">
      <w:pPr>
        <w:keepNext w:val="0"/>
        <w:keepLines w:val="0"/>
        <w:pageBreakBefore w:val="0"/>
        <w:kinsoku/>
        <w:wordWrap/>
        <w:topLinePunct w:val="0"/>
        <w:bidi w:val="0"/>
        <w:adjustRightInd w:val="0"/>
        <w:spacing w:line="560" w:lineRule="exact"/>
        <w:ind w:right="0" w:firstLine="632" w:firstLineChars="200"/>
        <w:jc w:val="both"/>
        <w:textAlignment w:val="auto"/>
        <w:rPr>
          <w:spacing w:val="0"/>
          <w:szCs w:val="32"/>
        </w:rPr>
      </w:pPr>
      <w:r>
        <w:rPr>
          <w:rFonts w:ascii="Times New Roman" w:hAnsi="Times New Roman" w:eastAsia="方正仿宋_GBK"/>
          <w:spacing w:val="0"/>
          <w:sz w:val="32"/>
          <w:szCs w:val="32"/>
          <w:lang w:val="zh-CN"/>
        </w:rPr>
        <w:t>目前，服务外包、数字贸易领域吸纳就业超过14万人，其中大专及以上学历占比超过七成。澳斯康生物、慧聚药业、海泰生物三家企业获评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“</w:t>
      </w:r>
      <w:r>
        <w:rPr>
          <w:rFonts w:ascii="Times New Roman" w:hAnsi="Times New Roman" w:eastAsia="方正仿宋_GBK"/>
          <w:spacing w:val="0"/>
          <w:sz w:val="32"/>
          <w:szCs w:val="32"/>
          <w:lang w:val="zh-CN"/>
        </w:rPr>
        <w:t>国际服务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”</w:t>
      </w:r>
      <w:r>
        <w:rPr>
          <w:rFonts w:ascii="Times New Roman" w:hAnsi="Times New Roman" w:eastAsia="方正仿宋_GBK"/>
          <w:spacing w:val="0"/>
          <w:sz w:val="32"/>
          <w:szCs w:val="32"/>
          <w:lang w:val="zh-CN"/>
        </w:rPr>
        <w:t>省双创人才和团队，数量全省领先。</w:t>
      </w:r>
    </w:p>
    <w:p w14:paraId="6271D5E2">
      <w:pPr>
        <w:pStyle w:val="6"/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ascii="Times New Roman" w:eastAsia="方正黑体_GBK"/>
          <w:spacing w:val="0"/>
        </w:rPr>
      </w:pPr>
      <w:r>
        <w:rPr>
          <w:rFonts w:hint="eastAsia" w:ascii="Times New Roman" w:eastAsia="方正黑体_GBK"/>
          <w:spacing w:val="0"/>
        </w:rPr>
        <w:t>二</w:t>
      </w:r>
      <w:r>
        <w:rPr>
          <w:rFonts w:ascii="Times New Roman" w:eastAsia="方正黑体_GBK"/>
          <w:spacing w:val="0"/>
        </w:rPr>
        <w:t>、</w:t>
      </w:r>
      <w:r>
        <w:rPr>
          <w:rFonts w:hint="eastAsia" w:ascii="Times New Roman" w:eastAsia="方正黑体_GBK"/>
          <w:spacing w:val="0"/>
        </w:rPr>
        <w:t>下一步工作计划</w:t>
      </w:r>
    </w:p>
    <w:p w14:paraId="207E15CC">
      <w:pPr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我局将持续深化服务外包示范城市建设，全力推动服务贸易、数字贸易高质量发展。重点做好五个方面工作：</w:t>
      </w:r>
    </w:p>
    <w:p w14:paraId="1921E0CE">
      <w:pPr>
        <w:keepNext w:val="0"/>
        <w:keepLines w:val="0"/>
        <w:pageBreakBefore w:val="0"/>
        <w:kinsoku/>
        <w:wordWrap/>
        <w:overflowPunct w:val="0"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  <w:t>一是围绕市委市政府工作部署，强化组织推进。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持续深入落实《南通市服务外包繁荣发展三年行动实施方案（2022-2024年）》和《关于加快企业总部南通基地招引建设工作的行动方案》，推动各地大力招引一批以数据为生产要素、数字服务为核心、数字交付为特征的数字贸易科创型、平台型、总部型项目。出台《南通市服务贸易促进指导目录》，推动运输、加工服务等传统服务贸易转型升级，支持研发设计、知识产权等知识密集型服务贸易创新发展，以服务贸易数字化转型为核心推动数字贸易发展。完善并强化市服务贸易专班工作机制，开展数字贸易调研，探索完善数字贸易统计监测体系。</w:t>
      </w:r>
    </w:p>
    <w:p w14:paraId="32B86E83">
      <w:pPr>
        <w:keepNext w:val="0"/>
        <w:keepLines w:val="0"/>
        <w:pageBreakBefore w:val="0"/>
        <w:kinsoku/>
        <w:wordWrap/>
        <w:overflowPunct w:val="0"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  <w:t>二是瞄准重点区域和行业，加快项目招引。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在沪聚焦平台经济、工业设计等数字贸易重点领域举办“南通市与重点服务贸易企业面对面”专场活动。紧盯上海、苏南，瞄准张江板块，招引医药及高价值医疗器械定制研发生产平台、新一代信息技术开发应用服务、集成电路设计知名企业；瞄准陆家嘴金融贸易区板块，招引金融服务后台、跨国公司共享中心、服务中心等；瞄准自贸区、长宁等板块，招引金融数据、在线新经济、高价值产品维修和再制造企业。依托南通制造业优势，促进数字贸易与制造业深入融合，推动制造业数字化转型、智能化生产、个性化定制、平台化销售，加快推动产业数字化。培育一批信息技术和制造业融合发展标杆企业，引进跨国公司研发、财务、采购、运营、共享服务中心等功能性机构，推动数字服务、工业设计、生物医药研发等重点领域的数字贸易平台建设。</w:t>
      </w:r>
    </w:p>
    <w:p w14:paraId="4A4A34DA">
      <w:pPr>
        <w:keepNext w:val="0"/>
        <w:keepLines w:val="0"/>
        <w:pageBreakBefore w:val="0"/>
        <w:kinsoku/>
        <w:wordWrap/>
        <w:overflowPunct w:val="0"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  <w:t>三是做强数字贸易优势领域，拓展新兴领域。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发挥中远船务、招商局重工等船舶海工企业在船舶修造、海工平台等方面的技术优势，做大船舶及海工装备维修维护、船舶设计规模。立足通州湾新出海口建设及开放，引进和培育一批物流综合供应链集成服务企业，促进海事法律、航运金融、航运咨询等航运服务要素集聚。注重规划引领，推进南通开发区、海门临江生物医药科技创业园、启东生命健康产业园等生物医药园区差异化发展。充分挖掘丝绸、蓝印画布、纺织花型设计、动漫游戏等文化项目，积极组织南通企业参加意大利工业设计展、马来西亚文化贸易展等重点国际服贸展会，推动南通服务出海。</w:t>
      </w:r>
    </w:p>
    <w:p w14:paraId="22F70CDD">
      <w:pPr>
        <w:keepNext w:val="0"/>
        <w:keepLines w:val="0"/>
        <w:pageBreakBefore w:val="0"/>
        <w:kinsoku/>
        <w:wordWrap/>
        <w:overflowPunct w:val="0"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  <w:t>四是加快构建特色产业集群，打造园区品牌。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依托省级服务外包示范区和省级服贸基地，推进各园区走精品路线、特色路线，提升园区硬件与生活配套水平，打造具有南通特色的数字产业集群。推动南通信创园、市北高新科技城、国际服务外包产业园、江海智汇园等特色园区等市区重点园区，聚力发展软件研发、集成电路、在线新经济等产业。推动海安软件园、如皋软件园、如东生命健康产业园重点发展机器人、半导体封装测试、地理信息等领域。推动海门临江生物医药科技创业园、启东生命健康科技城重点发展精准医疗、模式动物、CRO、CDMO等领域。</w:t>
      </w:r>
    </w:p>
    <w:p w14:paraId="204A06F2">
      <w:pPr>
        <w:keepNext w:val="0"/>
        <w:keepLines w:val="0"/>
        <w:pageBreakBefore w:val="0"/>
        <w:kinsoku/>
        <w:wordWrap/>
        <w:overflowPunct w:val="0"/>
        <w:topLinePunct w:val="0"/>
        <w:bidi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楷体_GBK"/>
          <w:snapToGrid w:val="0"/>
          <w:spacing w:val="0"/>
          <w:kern w:val="0"/>
          <w:sz w:val="32"/>
          <w:szCs w:val="32"/>
        </w:rPr>
        <w:t>五是完善政策支持体系，优化发展环境。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用好部省专项资金，构建对数字贸易重点领域的国家、省、市、地区各级资金的错位配套支持体系，强化相关资金配套支持。围绕船舶设计、生物医药等重点产业，推动示范园区和领军企业建设检验检测、安全评价、研发外包等精品化公共服务平台，推动龙头企业争创省级平台型数字贸易龙头企业和数字贸易平台。深化服务业对外开放，积极探索跨境服务贸易负面清单管理制度，加强服务业领域国际合作，进一步提升信息传输、软件和信息服务等现代服务业利用外资的能级。挖掘新业态，扩大技术贸易，围绕六大千亿级产业发展，支持企业聚焦“新技术、新产业、新模式、新业态”开展技术进口，通过消化、吸收、创新，转化形成具有自主知识产权的技术出口新优势。</w:t>
      </w:r>
    </w:p>
    <w:p w14:paraId="28003468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</w:pPr>
      <w:bookmarkStart w:id="20" w:name="_GoBack"/>
      <w:bookmarkEnd w:id="20"/>
    </w:p>
    <w:p w14:paraId="1DCC7CEE">
      <w:pPr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5666" w:firstLineChars="1793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南通市商务局</w:t>
      </w:r>
    </w:p>
    <w:p w14:paraId="17072742">
      <w:pPr>
        <w:keepNext w:val="0"/>
        <w:keepLines w:val="0"/>
        <w:pageBreakBefore w:val="0"/>
        <w:kinsoku/>
        <w:wordWrap/>
        <w:topLinePunct w:val="0"/>
        <w:bidi w:val="0"/>
        <w:spacing w:line="560" w:lineRule="exact"/>
        <w:ind w:right="0" w:firstLine="5666" w:firstLineChars="1793"/>
        <w:jc w:val="both"/>
        <w:textAlignment w:val="auto"/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</w:pP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2024年</w:t>
      </w:r>
      <w:r>
        <w:rPr>
          <w:rFonts w:hint="eastAsia" w:ascii="Times New Roman" w:hAnsi="Times New Roman"/>
          <w:spacing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月</w:t>
      </w:r>
      <w:r>
        <w:rPr>
          <w:rFonts w:hint="eastAsia" w:ascii="Times New Roman" w:hAnsi="Times New Roman"/>
          <w:spacing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/>
          <w:spacing w:val="0"/>
          <w:sz w:val="32"/>
          <w:szCs w:val="32"/>
          <w:lang w:val="zh-CN"/>
        </w:rPr>
        <w:t>日</w:t>
      </w:r>
    </w:p>
    <w:p w14:paraId="6BE32F11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</w:pPr>
      <w:r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  <w:t>联 系 人：曹  雪</w:t>
      </w:r>
    </w:p>
    <w:p w14:paraId="2B0AF487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</w:pPr>
      <w:r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  <w:t>联系电话：85115292</w:t>
      </w:r>
    </w:p>
    <w:p w14:paraId="30218B5C">
      <w:pPr>
        <w:pStyle w:val="10"/>
        <w:keepNext w:val="0"/>
        <w:keepLines w:val="0"/>
        <w:pageBreakBefore w:val="0"/>
        <w:widowControl/>
        <w:kinsoku/>
        <w:wordWrap/>
        <w:topLinePunct w:val="0"/>
        <w:bidi w:val="0"/>
        <w:spacing w:before="0" w:beforeAutospacing="0" w:after="0" w:afterAutospacing="0" w:line="560" w:lineRule="exact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仿宋"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/>
          <w:spacing w:val="0"/>
          <w:kern w:val="2"/>
          <w:sz w:val="32"/>
          <w:szCs w:val="32"/>
        </w:rPr>
        <w:t>抄    送：市政协提案委、市政府办公室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书魂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17363">
    <w:pPr>
      <w:pStyle w:val="8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1FDB3">
    <w:pPr>
      <w:pStyle w:val="8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237B6">
    <w:pPr>
      <w:pStyle w:val="19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F35C7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z w:val="32"/>
        <w:szCs w:val="32"/>
      </w:rPr>
      <w:t>A</w:t>
    </w:r>
  </w:p>
  <w:p w14:paraId="1EB54201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z w:val="32"/>
        <w:szCs w:val="32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6C0C4DF0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A886728"/>
    <w:rsid w:val="1E5063A1"/>
    <w:rsid w:val="24FD3B3B"/>
    <w:rsid w:val="28267917"/>
    <w:rsid w:val="330B5ED8"/>
    <w:rsid w:val="34C06933"/>
    <w:rsid w:val="36201528"/>
    <w:rsid w:val="37E6581D"/>
    <w:rsid w:val="39BA2D80"/>
    <w:rsid w:val="3B6B264B"/>
    <w:rsid w:val="4440141F"/>
    <w:rsid w:val="58C6010C"/>
    <w:rsid w:val="5E642711"/>
    <w:rsid w:val="6C0C4DF0"/>
    <w:rsid w:val="72201EA6"/>
    <w:rsid w:val="783D5864"/>
    <w:rsid w:val="7B2117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5">
    <w:name w:val="heading 3"/>
    <w:basedOn w:val="1"/>
    <w:next w:val="6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6">
    <w:name w:val="Normal Indent"/>
    <w:basedOn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7">
    <w:name w:val="Plain Text"/>
    <w:qFormat/>
    <w:uiPriority w:val="99"/>
    <w:pPr>
      <w:widowControl w:val="0"/>
      <w:jc w:val="both"/>
    </w:pPr>
    <w:rPr>
      <w:rFonts w:ascii="宋体" w:hAnsi="Courier New" w:eastAsia="宋体" w:cs="Courier New"/>
      <w:kern w:val="2"/>
      <w:sz w:val="21"/>
      <w:szCs w:val="24"/>
      <w:lang w:val="en-US" w:eastAsia="zh-CN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10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7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8">
    <w:name w:val="文头"/>
    <w:basedOn w:val="19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9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20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21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22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5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2024-09-04T02:22:00Z</dcterms:created>
  <dc:creator>翻不完的日历</dc:creator>
  <cp:lastModifiedBy>翻不完的日历</cp:lastModifiedBy>
  <dcterms:modified xsi:type="dcterms:W3CDTF">2024-09-04T02:27:44Z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4CCCA47ECAEA4A259A679DE85D39FD8E_11</vt:lpwstr>
  </property>
</Properties>
</file>