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FC17F">
      <w:pPr>
        <w:pStyle w:val="17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5A869839">
      <w:pPr>
        <w:pStyle w:val="18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6902"/>
      <w:bookmarkEnd w:id="2"/>
      <w:bookmarkStart w:id="3" w:name="_1081335927"/>
      <w:bookmarkEnd w:id="3"/>
      <w:bookmarkStart w:id="4" w:name="_1081336766"/>
      <w:bookmarkEnd w:id="4"/>
      <w:bookmarkStart w:id="5" w:name="_988455526"/>
      <w:bookmarkEnd w:id="5"/>
      <w:bookmarkStart w:id="6" w:name="_1081336878"/>
      <w:bookmarkEnd w:id="6"/>
      <w:bookmarkStart w:id="7" w:name="_1081336936"/>
      <w:bookmarkEnd w:id="7"/>
      <w:bookmarkStart w:id="8" w:name="_1081336852"/>
      <w:bookmarkEnd w:id="8"/>
      <w:bookmarkStart w:id="9" w:name="_988455233"/>
      <w:bookmarkEnd w:id="9"/>
      <w:bookmarkStart w:id="10" w:name="_988455157"/>
      <w:bookmarkEnd w:id="10"/>
      <w:bookmarkStart w:id="11" w:name="_988455599"/>
      <w:bookmarkEnd w:id="11"/>
      <w:bookmarkStart w:id="12" w:name="_988455673"/>
      <w:bookmarkEnd w:id="12"/>
      <w:bookmarkStart w:id="13" w:name="_988456248"/>
      <w:bookmarkEnd w:id="13"/>
      <w:bookmarkStart w:id="14" w:name="_1081336172"/>
      <w:bookmarkEnd w:id="14"/>
      <w:bookmarkStart w:id="15" w:name="_988455645"/>
      <w:bookmarkEnd w:id="15"/>
      <w:bookmarkStart w:id="16" w:name="_98845557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7F08B62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firstLine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58055DA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z w:val="32"/>
        </w:rPr>
        <w:t>通商复字</w:t>
      </w:r>
      <w:r>
        <w:rPr>
          <w:rFonts w:hint="eastAsia" w:ascii="Times New Roman" w:hAnsi="Times New Roman" w:eastAsia="方正仿宋_GBK"/>
          <w:sz w:val="32"/>
        </w:rPr>
        <w:t>﹝</w:t>
      </w:r>
      <w:r>
        <w:rPr>
          <w:rFonts w:ascii="Times New Roman" w:hAnsi="Times New Roman" w:eastAsia="方正仿宋_GBK"/>
          <w:sz w:val="32"/>
        </w:rPr>
        <w:t>20</w:t>
      </w:r>
      <w:r>
        <w:rPr>
          <w:rFonts w:hint="eastAsia" w:ascii="Times New Roman" w:hAnsi="Times New Roman" w:eastAsia="方正仿宋_GBK"/>
          <w:sz w:val="32"/>
          <w:lang w:val="en-US" w:eastAsia="zh-CN"/>
        </w:rPr>
        <w:t>2</w:t>
      </w:r>
      <w:r>
        <w:rPr>
          <w:rFonts w:hint="eastAsia"/>
          <w:sz w:val="32"/>
          <w:lang w:val="en-US" w:eastAsia="zh-CN"/>
        </w:rPr>
        <w:t>4</w:t>
      </w:r>
      <w:r>
        <w:rPr>
          <w:rFonts w:hint="eastAsia" w:ascii="Times New Roman" w:hAnsi="Times New Roman" w:eastAsia="方正仿宋_GBK"/>
          <w:sz w:val="32"/>
        </w:rPr>
        <w:t>﹞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68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号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        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 签发人：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eastAsia="zh-CN"/>
        </w:rPr>
        <w:t>高洪军</w:t>
      </w:r>
    </w:p>
    <w:p w14:paraId="4D80A8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eastAsia="zh-CN"/>
        </w:rPr>
      </w:pPr>
    </w:p>
    <w:p w14:paraId="2537F5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eastAsia="zh-CN"/>
        </w:rPr>
        <w:t>对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  <w:t>市</w:t>
      </w:r>
      <w:r>
        <w:rPr>
          <w:rFonts w:hint="eastAsia" w:ascii="Times New Roman" w:eastAsia="方正小标宋_GBK" w:cs="Times New Roman"/>
          <w:color w:val="auto"/>
          <w:sz w:val="44"/>
          <w:szCs w:val="44"/>
          <w:lang w:eastAsia="zh-CN"/>
        </w:rPr>
        <w:t>政协十三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  <w:t>届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eastAsia="zh-CN"/>
        </w:rPr>
        <w:t>三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</w:rPr>
        <w:t>次会议</w:t>
      </w:r>
    </w:p>
    <w:p w14:paraId="2707AD5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eastAsia="zh-CN"/>
        </w:rPr>
      </w:pPr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t>第</w:t>
      </w:r>
      <w:r>
        <w:rPr>
          <w:rFonts w:hint="eastAsia" w:ascii="Times New Roman" w:eastAsia="方正小标宋_GBK" w:cs="Times New Roman"/>
          <w:color w:val="auto"/>
          <w:sz w:val="44"/>
          <w:szCs w:val="44"/>
          <w:lang w:val="en-US" w:eastAsia="zh-CN"/>
        </w:rPr>
        <w:t>0398</w:t>
      </w:r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t>号</w:t>
      </w:r>
      <w:r>
        <w:rPr>
          <w:rFonts w:hint="eastAsia" w:ascii="Times New Roman" w:eastAsia="方正小标宋_GBK" w:cs="Times New Roman"/>
          <w:color w:val="auto"/>
          <w:sz w:val="44"/>
          <w:szCs w:val="44"/>
          <w:highlight w:val="none"/>
          <w:lang w:eastAsia="zh-CN"/>
        </w:rPr>
        <w:t>提案</w:t>
      </w:r>
      <w:r>
        <w:rPr>
          <w:rFonts w:ascii="Times New Roman" w:hAnsi="Times New Roman" w:eastAsia="方正小标宋_GBK" w:cs="Times New Roman"/>
          <w:color w:val="auto"/>
          <w:sz w:val="44"/>
          <w:szCs w:val="44"/>
          <w:highlight w:val="none"/>
        </w:rPr>
        <w:t>的答复</w:t>
      </w:r>
    </w:p>
    <w:p w14:paraId="31B419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napToGrid/>
          <w:color w:val="auto"/>
          <w:szCs w:val="32"/>
          <w:lang w:eastAsia="zh-CN"/>
        </w:rPr>
      </w:pPr>
    </w:p>
    <w:p w14:paraId="34DBFF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韩烽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委员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：</w:t>
      </w:r>
    </w:p>
    <w:p w14:paraId="79B17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您提出的关于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《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立足现状、适度前瞻、稳步推进，务实提升园区产业项目承载力的建议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》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收悉，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经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认真研究并实地调研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我市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各开发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区载体建设、项目承载力等情况，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现答复如下：</w:t>
      </w:r>
    </w:p>
    <w:p w14:paraId="4A324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自1984年12月国务院批准设立南通经济技术开发区以来，全市已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先后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建成17家省级以上开发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区，其中国家级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开发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区5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家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（含国家级高新区1家）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，省级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开发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区12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家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（含省级高新区3家）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。近年来，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各开发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持续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加快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基础设施建设，强化水、电、路等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基础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要素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保障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，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园区配套不断完善，在全市项目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建设中的主战场、主力军、主引擎、主阵地作用不断凸显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今年上半年，全市开发园区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新认定开工5亿元以上工业项目125个，完成全年目标的65.8%，占全市的69.4%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val="en-US" w:eastAsia="zh-CN"/>
        </w:rPr>
        <w:t>。</w:t>
      </w:r>
    </w:p>
    <w:p w14:paraId="5C783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与此同时，我们也清醒地看到，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我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市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开发园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区还不同程度存在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提案中指出的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对新型要素谋划不足、载体建设与产业需求不匹配等问题。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当前及下阶段，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我局将会同有关部门采取针对性措施，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加强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各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园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发展引导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，持续增强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园区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承载能力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，根据目标产业需求，进一步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完善配套设施、优化服务功能，不断提升发展能级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，增强新形势下招商引资核心竞争力，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打造更具有专业特色、可持续发展的高质量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开发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区。</w:t>
      </w:r>
    </w:p>
    <w:p w14:paraId="544ACC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napToGrid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一是加强统筹规划，科学配置要素资源。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val="en-US" w:eastAsia="zh-CN"/>
        </w:rPr>
        <w:t>明确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一主一新一特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园区发展规划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指导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val="en-US" w:eastAsia="zh-CN"/>
        </w:rPr>
        <w:t>各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开发园区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立足自身资源禀赋、产业基础，聚力打造标志性特色主导产业。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根据主导产业发展所需，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科学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优化空间布局，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因地制宜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推进园区内道路、供水、供电、供气、供热、通讯、污水、绿化等基础设施建设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val="en-US" w:eastAsia="zh-CN"/>
        </w:rPr>
        <w:t>强化统筹管理，对园区自身各类存量要素资源做到动态更新。指导园区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eastAsia="zh-CN"/>
        </w:rPr>
        <w:t>在项目招引过程中，</w:t>
      </w:r>
      <w:r>
        <w:rPr>
          <w:rFonts w:hint="eastAsia" w:ascii="Times New Roman" w:hAnsi="Times New Roman"/>
          <w:spacing w:val="0"/>
          <w:kern w:val="0"/>
          <w:sz w:val="32"/>
          <w:szCs w:val="44"/>
          <w:lang w:eastAsia="zh-CN"/>
        </w:rPr>
        <w:t>重点关注市场前景广、科技实力强、经济效益好</w:t>
      </w:r>
      <w:r>
        <w:rPr>
          <w:rFonts w:hint="eastAsia" w:ascii="Times New Roman" w:hAnsi="Times New Roman" w:eastAsia="方正仿宋_GBK"/>
          <w:spacing w:val="0"/>
          <w:kern w:val="0"/>
          <w:sz w:val="32"/>
          <w:szCs w:val="44"/>
        </w:rPr>
        <w:t>的产业项目</w:t>
      </w:r>
      <w:r>
        <w:rPr>
          <w:rFonts w:hint="eastAsia" w:ascii="Times New Roman" w:hAnsi="Times New Roman"/>
          <w:spacing w:val="0"/>
          <w:kern w:val="0"/>
          <w:sz w:val="32"/>
          <w:szCs w:val="44"/>
          <w:lang w:eastAsia="zh-CN"/>
        </w:rPr>
        <w:t>，进一步</w:t>
      </w:r>
      <w:r>
        <w:rPr>
          <w:rFonts w:hint="eastAsia" w:ascii="Times New Roman" w:hAnsi="Times New Roman"/>
          <w:spacing w:val="0"/>
          <w:kern w:val="0"/>
          <w:sz w:val="32"/>
          <w:szCs w:val="44"/>
          <w:lang w:val="en-US" w:eastAsia="zh-CN"/>
        </w:rPr>
        <w:t>完善产业项目对地方经济社会发展贡献评估，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科学</w:t>
      </w:r>
      <w:r>
        <w:rPr>
          <w:rFonts w:hint="eastAsia" w:ascii="Times New Roman" w:hAnsi="Times New Roman" w:cs="Times New Roman"/>
          <w:color w:val="auto"/>
          <w:spacing w:val="0"/>
          <w:kern w:val="0"/>
          <w:sz w:val="32"/>
          <w:szCs w:val="32"/>
          <w:lang w:val="en-US" w:eastAsia="zh-CN"/>
        </w:rPr>
        <w:t>合理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配置要素资源。</w:t>
      </w:r>
    </w:p>
    <w:p w14:paraId="1F85B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59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spacing w:val="0"/>
          <w:kern w:val="0"/>
          <w:sz w:val="32"/>
          <w:szCs w:val="32"/>
          <w:lang w:val="en-US" w:eastAsia="zh-CN"/>
        </w:rPr>
        <w:t xml:space="preserve">    二是推动绿色发展，探索建设（近）零碳园区。</w:t>
      </w:r>
      <w:r>
        <w:rPr>
          <w:rFonts w:hint="eastAsia" w:ascii="Times New Roman" w:hAnsi="Times New Roman" w:eastAsia="方正仿宋_GBK" w:cs="Times New Roman"/>
          <w:spacing w:val="0"/>
          <w:kern w:val="0"/>
          <w:lang w:val="en-US" w:eastAsia="zh-CN"/>
        </w:rPr>
        <w:t>落实市政府《关于进一步推进工业用地提质增效的实施意见》，强化“高新高端高效、集聚集群集约”导向，坚持“亩产论英雄”。建立健全“双碳”工作组织制度体系，推动开发</w:t>
      </w:r>
      <w:r>
        <w:rPr>
          <w:rFonts w:hint="eastAsia" w:ascii="Times New Roman" w:hAnsi="Times New Roman" w:cs="Times New Roman"/>
          <w:spacing w:val="0"/>
          <w:kern w:val="0"/>
          <w:lang w:val="en-US" w:eastAsia="zh-CN"/>
        </w:rPr>
        <w:t>园</w:t>
      </w:r>
      <w:r>
        <w:rPr>
          <w:rFonts w:hint="eastAsia" w:ascii="Times New Roman" w:hAnsi="Times New Roman" w:eastAsia="方正仿宋_GBK" w:cs="Times New Roman"/>
          <w:spacing w:val="0"/>
          <w:kern w:val="0"/>
          <w:lang w:val="en-US" w:eastAsia="zh-CN"/>
        </w:rPr>
        <w:t>区循环化改造和绿色制造体系建设，加强企业用能和污染物排放监管。严格项目准入“门槛”、推进节能减排，大力创建生态园区。充分利用我市沿海风电</w:t>
      </w:r>
      <w:r>
        <w:rPr>
          <w:rFonts w:hint="eastAsia" w:ascii="Times New Roman" w:hAnsi="Times New Roman" w:cs="Times New Roman"/>
          <w:spacing w:val="0"/>
          <w:kern w:val="0"/>
          <w:lang w:val="en-US" w:eastAsia="zh-CN"/>
        </w:rPr>
        <w:t>、光伏等</w:t>
      </w:r>
      <w:r>
        <w:rPr>
          <w:rFonts w:hint="eastAsia" w:ascii="Times New Roman" w:hAnsi="Times New Roman" w:eastAsia="方正仿宋_GBK" w:cs="Times New Roman"/>
          <w:spacing w:val="0"/>
          <w:kern w:val="0"/>
          <w:lang w:val="en-US" w:eastAsia="zh-CN"/>
        </w:rPr>
        <w:t>资源优势，</w:t>
      </w:r>
      <w:r>
        <w:rPr>
          <w:rFonts w:hint="eastAsia" w:ascii="Times New Roman" w:hAnsi="Times New Roman" w:eastAsia="方正仿宋_GBK" w:cs="Times New Roman"/>
          <w:spacing w:val="0"/>
          <w:kern w:val="0"/>
        </w:rPr>
        <w:t>加快沿海新型电力系统建设，</w:t>
      </w:r>
      <w:r>
        <w:rPr>
          <w:rFonts w:hint="eastAsia" w:ascii="Times New Roman" w:hAnsi="Times New Roman" w:cs="Times New Roman"/>
          <w:spacing w:val="0"/>
          <w:kern w:val="0"/>
          <w:lang w:eastAsia="zh-CN"/>
        </w:rPr>
        <w:t>鼓励相关园区积极响应国家“双碳”战略，探索建设</w:t>
      </w:r>
      <w:r>
        <w:rPr>
          <w:rFonts w:hint="eastAsia" w:ascii="Times New Roman" w:hAnsi="Times New Roman" w:eastAsia="方正仿宋_GBK" w:cs="Times New Roman"/>
          <w:spacing w:val="0"/>
          <w:kern w:val="0"/>
        </w:rPr>
        <w:t>（近）零碳园区</w:t>
      </w:r>
      <w:r>
        <w:rPr>
          <w:rFonts w:hint="eastAsia" w:ascii="Times New Roman" w:hAnsi="Times New Roman" w:eastAsia="方正仿宋_GBK" w:cs="Times New Roman"/>
          <w:spacing w:val="0"/>
          <w:kern w:val="0"/>
          <w:lang w:val="en-US" w:eastAsia="zh-CN"/>
        </w:rPr>
        <w:t>。</w:t>
      </w:r>
    </w:p>
    <w:p w14:paraId="586BE67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after="0" w:afterLines="0" w:line="590" w:lineRule="exact"/>
        <w:ind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pacing w:val="0"/>
          <w:kern w:val="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lang w:val="en-US" w:eastAsia="zh-CN"/>
        </w:rPr>
        <w:t>三是推进新型基础设施建设，打造优质公共服务平台。</w:t>
      </w:r>
      <w:r>
        <w:rPr>
          <w:rFonts w:hint="eastAsia" w:eastAsia="方正仿宋_GBK" w:cs="Times New Roman"/>
          <w:spacing w:val="0"/>
          <w:kern w:val="0"/>
          <w:lang w:val="en-US" w:eastAsia="zh-CN"/>
        </w:rPr>
        <w:t>新型基础设施作为基础性、公共性的物质工程设施，适度超前、系统化部署建设有利于发挥其最大效用。引导各开发园区根据发展基础、经济实力、资源环境的承载力和市场容量等因素合理布局。一是打造满足产业发展需求的新能源、水资源、碳排放专业化公共服务平台；二是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按照功能专业化、资源集约化、服务社会化的原则，加强公共技术服务平台建设，为落户项目提供服务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eastAsia="zh-CN"/>
        </w:rPr>
        <w:t>；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三是强化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产学研合作平台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，进一步促进产业集聚，提升行业地位，构建完善的产业生态圈。</w:t>
      </w:r>
    </w:p>
    <w:p w14:paraId="5C10666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after="0" w:afterLines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pacing w:val="0"/>
          <w:kern w:val="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lang w:val="en-US" w:eastAsia="zh-CN"/>
        </w:rPr>
        <w:t>四是加强合作共建，打造高水平开放平台。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结合长江口产业创新协同区建设，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借鉴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苏锡通科技产业园区、市北高新区等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合作园区成功经验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鼓励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有条件的开发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园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区与上海、苏南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等地园区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开展深度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合作，建设跨江合作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区中园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提升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中奥苏通生态园、中意海安生态园、中瑞（如皋）智能制造合作创新园</w:t>
      </w:r>
      <w:r>
        <w:rPr>
          <w:rFonts w:hint="eastAsia" w:eastAsia="方正仿宋_GBK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等国际合作载体平台开放水平，</w:t>
      </w:r>
      <w:r>
        <w:rPr>
          <w:rFonts w:ascii="Times New Roman" w:hAnsi="Times New Roman" w:eastAsia="方正仿宋_GBK"/>
          <w:color w:val="auto"/>
          <w:spacing w:val="0"/>
          <w:kern w:val="0"/>
        </w:rPr>
        <w:t>重点突出生态主题，注重与国外开展在新能源、绿色建筑、再生能源应用等领域的合作，重点培育、招引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高端外资</w:t>
      </w:r>
      <w:r>
        <w:rPr>
          <w:rFonts w:ascii="Times New Roman" w:hAnsi="Times New Roman" w:eastAsia="方正仿宋_GBK"/>
          <w:color w:val="auto"/>
          <w:spacing w:val="0"/>
          <w:kern w:val="0"/>
        </w:rPr>
        <w:t>制造业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项目</w:t>
      </w:r>
      <w:r>
        <w:rPr>
          <w:rFonts w:ascii="Times New Roman" w:hAnsi="Times New Roman" w:eastAsia="方正仿宋_GBK"/>
          <w:color w:val="auto"/>
          <w:spacing w:val="0"/>
          <w:kern w:val="0"/>
        </w:rPr>
        <w:t>，提升国际竞争力。</w:t>
      </w:r>
    </w:p>
    <w:p w14:paraId="4D3F727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after="0" w:afterLines="0" w:line="590" w:lineRule="exact"/>
        <w:ind w:left="0" w:leftChars="0" w:right="0" w:rightChars="0" w:firstLine="640"/>
        <w:jc w:val="both"/>
        <w:textAlignment w:val="auto"/>
        <w:outlineLvl w:val="9"/>
        <w:rPr>
          <w:rFonts w:hint="eastAsia" w:eastAsia="方正仿宋_GBK"/>
          <w:color w:val="auto"/>
          <w:spacing w:val="0"/>
          <w:kern w:val="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0"/>
          <w:kern w:val="0"/>
          <w:lang w:val="en-US" w:eastAsia="zh-CN"/>
        </w:rPr>
        <w:t>五是提升专业化水平，增加项目承载能力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标准化厂房是开发区承接项目落地、提升产业集聚功能的重要平台，也是优化营商环境、实现高质量转型发展的重要载体。一是学习借鉴苏州工业园区、昆山经开区等一流园区标准厂房建设经验案例，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指导全市各开发园区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聚焦主导产业定位和产业需求，加强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对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标准厂房层高、载重、面积、设计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、能源配套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等规划建设的事前介入，优化标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准厂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房结构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与服务，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提高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项目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入驻效率。二是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加大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成熟园区运营商招引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力度，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支持各开发区与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各类专业</w:t>
      </w:r>
      <w:r>
        <w:rPr>
          <w:rFonts w:hint="eastAsia" w:ascii="Times New Roman" w:hAnsi="Times New Roman" w:eastAsia="方正仿宋_GBK"/>
          <w:color w:val="auto"/>
          <w:spacing w:val="0"/>
          <w:kern w:val="0"/>
          <w:lang w:val="en-US" w:eastAsia="zh-CN"/>
        </w:rPr>
        <w:t>地产运营商开展合作，将载体平台作为招商引资的重要资源，发挥专业化平台载体优势，</w:t>
      </w: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进一步提升精准招商工作成效。</w:t>
      </w:r>
    </w:p>
    <w:p w14:paraId="42D55D5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after="0" w:afterLines="0" w:line="590" w:lineRule="exact"/>
        <w:ind w:left="0" w:leftChars="0" w:right="0" w:rightChars="0" w:firstLine="640"/>
        <w:jc w:val="both"/>
        <w:textAlignment w:val="auto"/>
        <w:outlineLvl w:val="9"/>
        <w:rPr>
          <w:rFonts w:hint="eastAsia" w:eastAsia="方正仿宋_GBK"/>
          <w:color w:val="auto"/>
          <w:spacing w:val="0"/>
          <w:kern w:val="0"/>
          <w:lang w:val="en-US" w:eastAsia="zh-CN"/>
        </w:rPr>
      </w:pPr>
      <w:r>
        <w:rPr>
          <w:rFonts w:hint="eastAsia" w:eastAsia="方正仿宋_GBK"/>
          <w:color w:val="auto"/>
          <w:spacing w:val="0"/>
          <w:kern w:val="0"/>
          <w:lang w:val="en-US" w:eastAsia="zh-CN"/>
        </w:rPr>
        <w:t>感谢您对我市商务事业的关心和支持！</w:t>
      </w:r>
    </w:p>
    <w:p w14:paraId="4789411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</w:pPr>
    </w:p>
    <w:p w14:paraId="03D83A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</w:pPr>
    </w:p>
    <w:p w14:paraId="7F3576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val="en-US" w:eastAsia="zh-CN"/>
        </w:rPr>
      </w:pPr>
    </w:p>
    <w:p w14:paraId="633787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line="590" w:lineRule="exact"/>
        <w:ind w:left="0" w:leftChars="0" w:right="0" w:rightChars="0" w:firstLine="5688" w:firstLineChars="1800"/>
        <w:jc w:val="both"/>
        <w:textAlignment w:val="auto"/>
        <w:outlineLvl w:val="9"/>
        <w:rPr>
          <w:rFonts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pacing w:val="0"/>
          <w:kern w:val="0"/>
          <w:sz w:val="32"/>
          <w:szCs w:val="32"/>
        </w:rPr>
        <w:t>南通市商务局</w:t>
      </w:r>
    </w:p>
    <w:p w14:paraId="0EEED7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line="590" w:lineRule="exact"/>
        <w:ind w:left="0" w:leftChars="0" w:right="0" w:rightChars="0" w:firstLine="5454" w:firstLineChars="1726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Cs w:val="32"/>
          <w:lang w:val="en-US" w:eastAsia="zh-CN"/>
        </w:rPr>
        <w:t>2024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Cs w:val="32"/>
        </w:rPr>
        <w:t>年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Cs w:val="32"/>
        </w:rPr>
        <w:t>月</w:t>
      </w:r>
      <w:r>
        <w:rPr>
          <w:rFonts w:hint="eastAsia" w:ascii="Times New Roman" w:hAnsi="Times New Roman" w:cs="Times New Roman"/>
          <w:snapToGrid w:val="0"/>
          <w:color w:val="auto"/>
          <w:spacing w:val="0"/>
          <w:kern w:val="0"/>
          <w:szCs w:val="32"/>
          <w:lang w:val="en-US" w:eastAsia="zh-CN"/>
        </w:rPr>
        <w:t>15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0"/>
          <w:szCs w:val="32"/>
        </w:rPr>
        <w:t>日</w:t>
      </w:r>
    </w:p>
    <w:p w14:paraId="4CB0441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before="0" w:line="59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lang w:val="en-US" w:eastAsia="zh-CN"/>
        </w:rPr>
      </w:pPr>
      <w:bookmarkStart w:id="20" w:name="_GoBack"/>
      <w:bookmarkEnd w:id="20"/>
    </w:p>
    <w:p w14:paraId="3F991DFA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5E93C780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527B2F21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74898328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0D7C6F2C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6E6BBC20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Cs w:val="32"/>
        </w:rPr>
      </w:pPr>
    </w:p>
    <w:p w14:paraId="5DA85567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联  系  人：</w:t>
      </w:r>
      <w:r>
        <w:rPr>
          <w:rFonts w:hint="eastAsia" w:ascii="Times New Roman" w:hAnsi="Times New Roman" w:cs="Times New Roman"/>
          <w:szCs w:val="32"/>
          <w:lang w:eastAsia="zh-CN"/>
        </w:rPr>
        <w:t>王西娇</w:t>
      </w:r>
    </w:p>
    <w:p w14:paraId="513902B6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53"/>
          <w:kern w:val="0"/>
          <w:szCs w:val="32"/>
          <w:fitText w:val="1600" w:id="1901005656"/>
        </w:rPr>
        <w:t>联系电</w:t>
      </w:r>
      <w:r>
        <w:rPr>
          <w:rFonts w:hint="default" w:ascii="Times New Roman" w:hAnsi="Times New Roman" w:cs="Times New Roman"/>
          <w:spacing w:val="1"/>
          <w:kern w:val="0"/>
          <w:szCs w:val="32"/>
          <w:fitText w:val="1600" w:id="1901005656"/>
        </w:rPr>
        <w:t>话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lang w:val="en-US" w:eastAsia="zh-CN"/>
        </w:rPr>
        <w:t>85</w:t>
      </w:r>
      <w:r>
        <w:rPr>
          <w:rFonts w:hint="eastAsia" w:ascii="Times New Roman" w:hAnsi="Times New Roman" w:cs="Times New Roman"/>
          <w:szCs w:val="32"/>
          <w:lang w:val="en-US" w:eastAsia="zh-CN"/>
        </w:rPr>
        <w:t>115273</w:t>
      </w:r>
    </w:p>
    <w:p w14:paraId="4E1CE9F0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pacing w:val="480"/>
          <w:kern w:val="0"/>
          <w:szCs w:val="32"/>
          <w:fitText w:val="1600" w:id="1218907479"/>
        </w:rPr>
        <w:t>抄</w:t>
      </w:r>
      <w:r>
        <w:rPr>
          <w:rFonts w:hint="default" w:ascii="Times New Roman" w:hAnsi="Times New Roman" w:cs="Times New Roman"/>
          <w:spacing w:val="0"/>
          <w:kern w:val="0"/>
          <w:szCs w:val="32"/>
          <w:fitText w:val="1600" w:id="1218907479"/>
        </w:rPr>
        <w:t>送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市政府办公室、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市政协提案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委员会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0442D">
    <w:pPr>
      <w:pStyle w:val="8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148D0">
    <w:pPr>
      <w:pStyle w:val="8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A3B0B">
    <w:pPr>
      <w:pStyle w:val="18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A37F6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7977" w:firstLineChars="2493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23586284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05095046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5095046"/>
    <w:rsid w:val="1E5063A1"/>
    <w:rsid w:val="28267917"/>
    <w:rsid w:val="330B5ED8"/>
    <w:rsid w:val="36201528"/>
    <w:rsid w:val="37E6581D"/>
    <w:rsid w:val="39BA2D80"/>
    <w:rsid w:val="3B6B264B"/>
    <w:rsid w:val="440305EA"/>
    <w:rsid w:val="4440141F"/>
    <w:rsid w:val="58C52E09"/>
    <w:rsid w:val="62A07FC0"/>
    <w:rsid w:val="6EA63EC8"/>
    <w:rsid w:val="6FE42753"/>
    <w:rsid w:val="72201EA6"/>
    <w:rsid w:val="73661E78"/>
    <w:rsid w:val="783D5864"/>
    <w:rsid w:val="7C1977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lock Text"/>
    <w:basedOn w:val="1"/>
    <w:qFormat/>
    <w:uiPriority w:val="0"/>
    <w:pPr>
      <w:spacing w:after="120" w:afterLines="0"/>
      <w:ind w:left="1440" w:leftChars="700" w:right="700" w:rightChars="700"/>
    </w:pPr>
    <w:rPr>
      <w:rFonts w:ascii="Times New Roman" w:hAnsi="Times New Roman" w:eastAsia="宋体" w:cs="Times New Roman"/>
    </w:rPr>
  </w:style>
  <w:style w:type="paragraph" w:styleId="7">
    <w:name w:val="Body Text Indent 2"/>
    <w:basedOn w:val="1"/>
    <w:qFormat/>
    <w:uiPriority w:val="0"/>
    <w:pPr>
      <w:spacing w:line="560" w:lineRule="exact"/>
      <w:ind w:firstLine="630"/>
    </w:pPr>
    <w:rPr>
      <w:rFonts w:ascii="Times New Roman" w:hAnsi="Times New Roman"/>
      <w:sz w:val="32"/>
      <w:szCs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6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7">
    <w:name w:val="文头"/>
    <w:basedOn w:val="18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8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9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20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1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2024-09-23T06:32:00Z</dcterms:created>
  <dc:creator>翻不完的日历</dc:creator>
  <cp:lastModifiedBy>翻不完的日历</cp:lastModifiedBy>
  <dcterms:modified xsi:type="dcterms:W3CDTF">2024-09-23T06:34:56Z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20764D09A2F54242BDE27AAE45DF02C2_11</vt:lpwstr>
  </property>
</Properties>
</file>