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A5CAD7">
      <w:pPr>
        <w:pStyle w:val="19"/>
        <w:spacing w:before="160" w:after="140" w:line="900" w:lineRule="exact"/>
        <w:rPr>
          <w:rFonts w:ascii="方正小标宋_GBK" w:eastAsia="方正小标宋_GBK"/>
          <w:spacing w:val="0"/>
          <w:sz w:val="100"/>
          <w:szCs w:val="100"/>
        </w:rPr>
      </w:pPr>
      <w:r>
        <w:rPr>
          <w:rFonts w:hint="eastAsia" w:ascii="方正小标宋_GBK" w:eastAsia="方正小标宋_GBK"/>
          <w:spacing w:val="0"/>
          <w:sz w:val="100"/>
          <w:szCs w:val="100"/>
        </w:rPr>
        <w:t>南通市商务局</w:t>
      </w:r>
    </w:p>
    <w:p w14:paraId="7E1756BD">
      <w:pPr>
        <w:pStyle w:val="20"/>
        <w:snapToGrid w:val="0"/>
        <w:spacing w:after="120" w:line="120" w:lineRule="atLeast"/>
        <w:ind w:left="-57" w:right="-57"/>
        <w:rPr>
          <w:rFonts w:ascii="宋体"/>
        </w:rPr>
      </w:pPr>
      <w:bookmarkStart w:id="0" w:name="_1081336902"/>
      <w:bookmarkEnd w:id="0"/>
      <w:bookmarkStart w:id="1" w:name="_1081336936"/>
      <w:bookmarkEnd w:id="1"/>
      <w:bookmarkStart w:id="2" w:name="_988455233"/>
      <w:bookmarkEnd w:id="2"/>
      <w:bookmarkStart w:id="3" w:name="_988455645"/>
      <w:bookmarkEnd w:id="3"/>
      <w:bookmarkStart w:id="4" w:name="_1081336197"/>
      <w:bookmarkEnd w:id="4"/>
      <w:bookmarkStart w:id="5" w:name="_988455212"/>
      <w:bookmarkEnd w:id="5"/>
      <w:bookmarkStart w:id="6" w:name="_988455673"/>
      <w:bookmarkEnd w:id="6"/>
      <w:bookmarkStart w:id="7" w:name="_1081336779"/>
      <w:bookmarkEnd w:id="7"/>
      <w:bookmarkStart w:id="8" w:name="_1081335927"/>
      <w:bookmarkEnd w:id="8"/>
      <w:bookmarkStart w:id="9" w:name="_988456248"/>
      <w:bookmarkEnd w:id="9"/>
      <w:bookmarkStart w:id="10" w:name="_988455575"/>
      <w:bookmarkEnd w:id="10"/>
      <w:bookmarkStart w:id="11" w:name="_988455526"/>
      <w:bookmarkEnd w:id="11"/>
      <w:bookmarkStart w:id="12" w:name="_988455599"/>
      <w:bookmarkEnd w:id="12"/>
      <w:bookmarkStart w:id="13" w:name="_988455626"/>
      <w:bookmarkEnd w:id="13"/>
      <w:bookmarkStart w:id="14" w:name="_1081336766"/>
      <w:bookmarkEnd w:id="14"/>
      <w:bookmarkStart w:id="15" w:name="_988455157"/>
      <w:bookmarkEnd w:id="15"/>
      <w:bookmarkStart w:id="16" w:name="_1081336852"/>
      <w:bookmarkEnd w:id="16"/>
      <w:bookmarkStart w:id="17" w:name="_1081336172"/>
      <w:bookmarkEnd w:id="17"/>
      <w:bookmarkStart w:id="18" w:name="_1081336878"/>
      <w:bookmarkEnd w:id="18"/>
      <w:r>
        <w:rPr>
          <w:rFonts w:ascii="宋体" w:hAnsi="汉鼎简仿宋"/>
        </w:rPr>
        <w:object>
          <v:shape id="_x0000_i1025" o:spt="75" type="#_x0000_t75" style="height:6pt;width:445.5pt;" o:ole="t" fillcolor="#6D6D6D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f"/>
            <w10:wrap type="none"/>
            <w10:anchorlock/>
          </v:shape>
          <o:OLEObject Type="Embed" ProgID="Word.Picture.8" ShapeID="_x0000_i1025" DrawAspect="Content" ObjectID="_1468075726" r:id="rId10">
            <o:LockedField>false</o:LockedField>
          </o:OLEObject>
        </w:object>
      </w:r>
    </w:p>
    <w:p w14:paraId="2211D21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firstLine="0"/>
        <w:textAlignment w:val="auto"/>
        <w:rPr>
          <w:rFonts w:ascii="Times New Roman" w:hAnsi="Times New Roman"/>
          <w:b/>
          <w:sz w:val="44"/>
          <w:szCs w:val="44"/>
        </w:rPr>
      </w:pPr>
    </w:p>
    <w:p w14:paraId="6D61DBA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left="0" w:leftChars="0" w:firstLine="316" w:firstLineChars="100"/>
        <w:textAlignment w:val="auto"/>
        <w:rPr>
          <w:rFonts w:ascii="Times New Roman" w:hAnsi="Times New Roman"/>
          <w:snapToGrid/>
        </w:rPr>
      </w:pPr>
      <w:r>
        <w:rPr>
          <w:rFonts w:ascii="Times New Roman" w:hAnsi="Times New Roman"/>
          <w:kern w:val="32"/>
          <w:szCs w:val="32"/>
        </w:rPr>
        <w:t>通商复字﹝2024﹞</w:t>
      </w:r>
      <w:r>
        <w:rPr>
          <w:rFonts w:hint="eastAsia" w:ascii="Times New Roman" w:hAnsi="Times New Roman"/>
          <w:kern w:val="32"/>
          <w:szCs w:val="32"/>
          <w:lang w:val="en-US" w:eastAsia="zh-CN"/>
        </w:rPr>
        <w:t>74</w:t>
      </w:r>
      <w:r>
        <w:rPr>
          <w:rFonts w:ascii="Times New Roman" w:hAnsi="Times New Roman"/>
          <w:kern w:val="32"/>
          <w:szCs w:val="32"/>
        </w:rPr>
        <w:t xml:space="preserve">号          </w:t>
      </w:r>
      <w:r>
        <w:rPr>
          <w:rFonts w:hint="eastAsia" w:ascii="Times New Roman" w:hAnsi="Times New Roman"/>
          <w:kern w:val="32"/>
          <w:szCs w:val="32"/>
        </w:rPr>
        <w:t xml:space="preserve">  </w:t>
      </w:r>
      <w:r>
        <w:rPr>
          <w:rFonts w:ascii="Times New Roman" w:hAnsi="Times New Roman"/>
          <w:kern w:val="32"/>
          <w:szCs w:val="32"/>
        </w:rPr>
        <w:t xml:space="preserve">     签发人：</w:t>
      </w:r>
      <w:r>
        <w:rPr>
          <w:rFonts w:hint="eastAsia" w:ascii="方正楷体_GBK" w:hAnsi="方正楷体_GBK" w:eastAsia="方正楷体_GBK" w:cs="方正楷体_GBK"/>
          <w:kern w:val="32"/>
          <w:szCs w:val="32"/>
        </w:rPr>
        <w:t>高洪军</w:t>
      </w:r>
    </w:p>
    <w:p w14:paraId="051FE1C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firstLine="0"/>
        <w:textAlignment w:val="auto"/>
        <w:rPr>
          <w:rFonts w:ascii="Times New Roman" w:hAnsi="Times New Roman"/>
          <w:snapToGrid/>
        </w:rPr>
      </w:pPr>
    </w:p>
    <w:p w14:paraId="62E89A65">
      <w:pPr>
        <w:keepNext w:val="0"/>
        <w:keepLines w:val="0"/>
        <w:pageBreakBefore w:val="0"/>
        <w:tabs>
          <w:tab w:val="left" w:pos="9193"/>
          <w:tab w:val="left" w:pos="9827"/>
        </w:tabs>
        <w:kinsoku/>
        <w:wordWrap/>
        <w:overflowPunct/>
        <w:topLinePunct w:val="0"/>
        <w:bidi w:val="0"/>
        <w:adjustRightInd/>
        <w:spacing w:line="560" w:lineRule="exact"/>
        <w:ind w:firstLine="0"/>
        <w:jc w:val="center"/>
        <w:textAlignment w:val="auto"/>
        <w:rPr>
          <w:rFonts w:hint="eastAsia" w:ascii="方正小标宋_GBK" w:hAnsi="方正小标宋_GBK" w:eastAsia="方正小标宋_GBK" w:cs="方正小标宋_GBK"/>
          <w:snapToGrid/>
          <w:spacing w:val="2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napToGrid/>
          <w:spacing w:val="20"/>
          <w:sz w:val="44"/>
          <w:szCs w:val="44"/>
        </w:rPr>
        <w:t>对市政协十三届三次会议</w:t>
      </w:r>
    </w:p>
    <w:p w14:paraId="48F5A456">
      <w:pPr>
        <w:keepNext w:val="0"/>
        <w:keepLines w:val="0"/>
        <w:pageBreakBefore w:val="0"/>
        <w:tabs>
          <w:tab w:val="left" w:pos="9193"/>
          <w:tab w:val="left" w:pos="9827"/>
        </w:tabs>
        <w:kinsoku/>
        <w:wordWrap/>
        <w:overflowPunct/>
        <w:topLinePunct w:val="0"/>
        <w:bidi w:val="0"/>
        <w:adjustRightInd/>
        <w:spacing w:line="560" w:lineRule="exact"/>
        <w:ind w:firstLine="0"/>
        <w:jc w:val="center"/>
        <w:textAlignment w:val="auto"/>
        <w:rPr>
          <w:rFonts w:hint="eastAsia" w:ascii="方正小标宋_GBK" w:hAnsi="方正小标宋_GBK" w:eastAsia="方正小标宋_GBK" w:cs="方正小标宋_GBK"/>
          <w:snapToGrid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napToGrid/>
          <w:sz w:val="44"/>
          <w:szCs w:val="44"/>
        </w:rPr>
        <w:t>第0418号提案的答复</w:t>
      </w:r>
    </w:p>
    <w:p w14:paraId="42FE6C9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firstLine="0"/>
        <w:textAlignment w:val="auto"/>
        <w:rPr>
          <w:rFonts w:ascii="Times New Roman" w:hAnsi="Times New Roman"/>
          <w:snapToGrid/>
          <w:szCs w:val="32"/>
        </w:rPr>
      </w:pPr>
    </w:p>
    <w:p w14:paraId="29E17CB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firstLine="0"/>
        <w:textAlignment w:val="auto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崔志明委员：</w:t>
      </w:r>
    </w:p>
    <w:p w14:paraId="6B42298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firstLine="632" w:firstLineChars="200"/>
        <w:textAlignment w:val="auto"/>
        <w:rPr>
          <w:rFonts w:ascii="Times New Roman"/>
          <w:szCs w:val="32"/>
        </w:rPr>
      </w:pPr>
      <w:r>
        <w:rPr>
          <w:rFonts w:hint="eastAsia" w:ascii="Times New Roman" w:hAnsi="Times New Roman"/>
          <w:szCs w:val="32"/>
        </w:rPr>
        <w:t>您提出的</w:t>
      </w:r>
      <w:r>
        <w:rPr>
          <w:rFonts w:hint="eastAsia" w:ascii="Times New Roman" w:hAnsi="Times New Roman"/>
          <w:szCs w:val="32"/>
          <w:lang w:eastAsia="zh-CN"/>
        </w:rPr>
        <w:t>《</w:t>
      </w:r>
      <w:r>
        <w:rPr>
          <w:rFonts w:hint="eastAsia" w:ascii="Times New Roman" w:hAnsi="Times New Roman"/>
          <w:szCs w:val="32"/>
        </w:rPr>
        <w:t>关于探索发展地铁商业的建议</w:t>
      </w:r>
      <w:r>
        <w:rPr>
          <w:rFonts w:hint="eastAsia" w:ascii="Times New Roman" w:hAnsi="Times New Roman"/>
          <w:szCs w:val="32"/>
          <w:lang w:eastAsia="zh-CN"/>
        </w:rPr>
        <w:t>》</w:t>
      </w:r>
      <w:r>
        <w:rPr>
          <w:rFonts w:hint="eastAsia" w:ascii="Times New Roman" w:hAnsi="Times New Roman"/>
          <w:szCs w:val="32"/>
        </w:rPr>
        <w:t>提案收悉，现答复</w:t>
      </w:r>
      <w:r>
        <w:rPr>
          <w:rFonts w:ascii="Times New Roman" w:hAnsi="Times New Roman"/>
          <w:szCs w:val="32"/>
        </w:rPr>
        <w:t>如下：</w:t>
      </w:r>
    </w:p>
    <w:p w14:paraId="14C826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ascii="Times New Roman" w:hAnsi="Times New Roman"/>
          <w:snapToGrid/>
          <w:kern w:val="2"/>
          <w:szCs w:val="32"/>
        </w:rPr>
      </w:pPr>
      <w:r>
        <w:rPr>
          <w:rFonts w:ascii="Times New Roman" w:hAnsi="Times New Roman"/>
          <w:color w:val="000000"/>
          <w:szCs w:val="32"/>
        </w:rPr>
        <w:t>我局会同协办单位</w:t>
      </w:r>
      <w:r>
        <w:rPr>
          <w:rFonts w:hint="eastAsia" w:ascii="Times New Roman" w:hAnsi="Times New Roman"/>
          <w:color w:val="000000"/>
          <w:szCs w:val="32"/>
        </w:rPr>
        <w:t>南通</w:t>
      </w:r>
      <w:r>
        <w:rPr>
          <w:rFonts w:ascii="Times New Roman" w:hAnsi="Times New Roman"/>
          <w:color w:val="000000"/>
          <w:szCs w:val="32"/>
        </w:rPr>
        <w:t>轨交集团，</w:t>
      </w:r>
      <w:r>
        <w:rPr>
          <w:rFonts w:hint="eastAsia" w:ascii="Times New Roman" w:hAnsi="Times New Roman"/>
          <w:color w:val="000000"/>
          <w:szCs w:val="32"/>
        </w:rPr>
        <w:t>对照该</w:t>
      </w:r>
      <w:r>
        <w:rPr>
          <w:rFonts w:ascii="Times New Roman" w:hAnsi="Times New Roman"/>
          <w:color w:val="000000"/>
          <w:szCs w:val="32"/>
        </w:rPr>
        <w:t>提案</w:t>
      </w:r>
      <w:r>
        <w:rPr>
          <w:rFonts w:hint="eastAsia" w:ascii="Times New Roman" w:hAnsi="Times New Roman"/>
          <w:color w:val="000000"/>
          <w:szCs w:val="32"/>
        </w:rPr>
        <w:t>提出的问题和</w:t>
      </w:r>
      <w:r>
        <w:rPr>
          <w:rFonts w:ascii="Times New Roman" w:hAnsi="Times New Roman"/>
          <w:color w:val="000000"/>
          <w:szCs w:val="32"/>
        </w:rPr>
        <w:t>建议</w:t>
      </w:r>
      <w:r>
        <w:rPr>
          <w:rFonts w:hint="eastAsia" w:ascii="Times New Roman" w:hAnsi="Times New Roman"/>
          <w:color w:val="000000"/>
          <w:szCs w:val="32"/>
        </w:rPr>
        <w:t>，</w:t>
      </w:r>
      <w:r>
        <w:rPr>
          <w:rFonts w:ascii="Times New Roman" w:hAnsi="Times New Roman"/>
          <w:color w:val="000000"/>
          <w:szCs w:val="32"/>
        </w:rPr>
        <w:t>系统回顾梳理了当前</w:t>
      </w:r>
      <w:r>
        <w:rPr>
          <w:rFonts w:hint="eastAsia" w:ascii="Times New Roman" w:hAnsi="Times New Roman"/>
          <w:color w:val="000000"/>
          <w:szCs w:val="32"/>
        </w:rPr>
        <w:t>我市地铁商业建设及利用情况</w:t>
      </w:r>
      <w:r>
        <w:rPr>
          <w:rFonts w:ascii="Times New Roman" w:hAnsi="Times New Roman"/>
          <w:color w:val="000000"/>
          <w:szCs w:val="32"/>
        </w:rPr>
        <w:t>，并认真谋划了下阶段工作，</w:t>
      </w:r>
      <w:r>
        <w:rPr>
          <w:rFonts w:hint="eastAsia" w:ascii="Times New Roman" w:hAnsi="Times New Roman"/>
          <w:color w:val="000000"/>
          <w:szCs w:val="32"/>
        </w:rPr>
        <w:t>将相关</w:t>
      </w:r>
      <w:r>
        <w:rPr>
          <w:rFonts w:ascii="Times New Roman" w:hAnsi="Times New Roman"/>
          <w:color w:val="000000"/>
          <w:szCs w:val="32"/>
        </w:rPr>
        <w:t>建议举措吸收到</w:t>
      </w:r>
      <w:r>
        <w:rPr>
          <w:rFonts w:hint="eastAsia" w:ascii="Times New Roman" w:hAnsi="Times New Roman"/>
          <w:color w:val="000000"/>
          <w:szCs w:val="32"/>
        </w:rPr>
        <w:t>编制《南通市城市商业网点布局规划（2021-2035年）》、推进</w:t>
      </w:r>
      <w:r>
        <w:rPr>
          <w:rFonts w:hint="eastAsia" w:ascii="Times New Roman" w:hAnsi="Times New Roman"/>
          <w:color w:val="000000"/>
          <w:szCs w:val="32"/>
          <w:lang w:eastAsia="zh-CN"/>
        </w:rPr>
        <w:t>“</w:t>
      </w:r>
      <w:r>
        <w:rPr>
          <w:rFonts w:ascii="Times New Roman" w:hAnsi="Times New Roman"/>
          <w:color w:val="000000"/>
          <w:szCs w:val="32"/>
        </w:rPr>
        <w:t>四大商圈、两大集群</w:t>
      </w:r>
      <w:r>
        <w:rPr>
          <w:rFonts w:hint="eastAsia" w:ascii="Times New Roman" w:hAnsi="Times New Roman"/>
          <w:color w:val="000000"/>
          <w:szCs w:val="32"/>
          <w:lang w:eastAsia="zh-CN"/>
        </w:rPr>
        <w:t>”</w:t>
      </w:r>
      <w:r>
        <w:rPr>
          <w:rFonts w:hint="eastAsia" w:ascii="Times New Roman" w:hAnsi="Times New Roman"/>
          <w:color w:val="000000"/>
          <w:szCs w:val="32"/>
        </w:rPr>
        <w:t>建设</w:t>
      </w:r>
      <w:r>
        <w:rPr>
          <w:rFonts w:ascii="Times New Roman" w:hAnsi="Times New Roman"/>
          <w:color w:val="000000"/>
          <w:szCs w:val="32"/>
        </w:rPr>
        <w:t>等工作</w:t>
      </w:r>
      <w:r>
        <w:rPr>
          <w:rFonts w:hint="eastAsia" w:ascii="Times New Roman" w:hAnsi="Times New Roman"/>
          <w:color w:val="000000"/>
          <w:szCs w:val="32"/>
        </w:rPr>
        <w:t>之</w:t>
      </w:r>
      <w:r>
        <w:rPr>
          <w:rFonts w:ascii="Times New Roman" w:hAnsi="Times New Roman"/>
          <w:color w:val="000000"/>
          <w:szCs w:val="32"/>
        </w:rPr>
        <w:t>中。</w:t>
      </w:r>
    </w:p>
    <w:p w14:paraId="31F9DA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left"/>
        <w:textAlignment w:val="auto"/>
        <w:rPr>
          <w:rFonts w:ascii="方正黑体_GBK" w:hAnsi="方正黑体_GBK" w:eastAsia="方正黑体_GBK" w:cs="方正黑体_GBK"/>
          <w:snapToGrid/>
          <w:kern w:val="2"/>
          <w:szCs w:val="32"/>
        </w:rPr>
      </w:pPr>
      <w:r>
        <w:rPr>
          <w:rFonts w:hint="eastAsia" w:ascii="方正黑体_GBK" w:hAnsi="方正黑体_GBK" w:eastAsia="方正黑体_GBK" w:cs="方正黑体_GBK"/>
          <w:snapToGrid/>
          <w:kern w:val="2"/>
          <w:szCs w:val="32"/>
        </w:rPr>
        <w:t>一、我市地铁商业建设及利用情况</w:t>
      </w:r>
    </w:p>
    <w:p w14:paraId="4CC53715"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bidi w:val="0"/>
        <w:adjustRightInd/>
        <w:spacing w:line="560" w:lineRule="exact"/>
        <w:textAlignment w:val="auto"/>
        <w:rPr>
          <w:rFonts w:ascii="Times New Roman" w:hAnsi="Times New Roman"/>
          <w:kern w:val="2"/>
          <w:szCs w:val="32"/>
        </w:rPr>
      </w:pPr>
      <w:r>
        <w:rPr>
          <w:rFonts w:ascii="Times New Roman" w:hAnsi="Times New Roman"/>
          <w:kern w:val="2"/>
          <w:szCs w:val="32"/>
        </w:rPr>
        <w:t>南通轨道交通1号线全长39.182千米，途经通州区、崇川区、南通创新区、南通开发区等板块，共设28座车站，均为地下车站。2号线全长20.85千米，全部为地下线，共设17座车站</w:t>
      </w:r>
      <w:r>
        <w:rPr>
          <w:rFonts w:hint="eastAsia" w:ascii="Times New Roman" w:hAnsi="Times New Roman"/>
          <w:kern w:val="2"/>
          <w:szCs w:val="32"/>
        </w:rPr>
        <w:t>，</w:t>
      </w:r>
      <w:r>
        <w:rPr>
          <w:rFonts w:ascii="Times New Roman" w:hAnsi="Times New Roman"/>
          <w:kern w:val="2"/>
          <w:szCs w:val="32"/>
        </w:rPr>
        <w:t>紧密串联南通西站、南通东站、汽车东站等重要枢纽节点，</w:t>
      </w:r>
      <w:r>
        <w:rPr>
          <w:rFonts w:hint="eastAsia" w:ascii="Times New Roman" w:hAnsi="Times New Roman"/>
          <w:kern w:val="2"/>
          <w:szCs w:val="32"/>
        </w:rPr>
        <w:t>大大</w:t>
      </w:r>
      <w:r>
        <w:rPr>
          <w:rFonts w:ascii="Times New Roman" w:hAnsi="Times New Roman"/>
          <w:kern w:val="2"/>
          <w:szCs w:val="32"/>
        </w:rPr>
        <w:t>增强了市区交通疏解功能，促进区域均衡发展。</w:t>
      </w:r>
      <w:r>
        <w:rPr>
          <w:rFonts w:hint="eastAsia" w:ascii="Times New Roman" w:hAnsi="Times New Roman"/>
          <w:kern w:val="2"/>
          <w:szCs w:val="32"/>
        </w:rPr>
        <w:t>两条地铁线串联南通</w:t>
      </w:r>
      <w:r>
        <w:rPr>
          <w:rFonts w:hint="eastAsia" w:ascii="Times New Roman" w:hAnsi="Times New Roman"/>
          <w:kern w:val="2"/>
          <w:szCs w:val="32"/>
          <w:lang w:eastAsia="zh-CN"/>
        </w:rPr>
        <w:t>“</w:t>
      </w:r>
      <w:r>
        <w:rPr>
          <w:rFonts w:hint="eastAsia" w:ascii="Times New Roman" w:hAnsi="Times New Roman"/>
          <w:kern w:val="2"/>
          <w:szCs w:val="32"/>
        </w:rPr>
        <w:t>黄金经济圈</w:t>
      </w:r>
      <w:r>
        <w:rPr>
          <w:rFonts w:hint="eastAsia" w:ascii="Times New Roman" w:hAnsi="Times New Roman"/>
          <w:kern w:val="2"/>
          <w:szCs w:val="32"/>
          <w:lang w:eastAsia="zh-CN"/>
        </w:rPr>
        <w:t>”</w:t>
      </w:r>
      <w:r>
        <w:rPr>
          <w:rFonts w:hint="eastAsia" w:ascii="Times New Roman" w:hAnsi="Times New Roman"/>
          <w:kern w:val="2"/>
          <w:szCs w:val="32"/>
        </w:rPr>
        <w:t>，发展地铁商业对于我市构建优质高效的服务业新体系、持续优化产业结构、推动高质量充分就业、促进消费提质增效意义重大。</w:t>
      </w:r>
    </w:p>
    <w:p w14:paraId="493140BE"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bidi w:val="0"/>
        <w:adjustRightInd/>
        <w:spacing w:line="560" w:lineRule="exact"/>
        <w:textAlignment w:val="auto"/>
        <w:rPr>
          <w:rFonts w:ascii="Times New Roman" w:hAnsi="Times New Roman"/>
          <w:kern w:val="2"/>
          <w:szCs w:val="32"/>
        </w:rPr>
      </w:pPr>
      <w:r>
        <w:rPr>
          <w:rFonts w:ascii="Times New Roman" w:hAnsi="Times New Roman"/>
          <w:kern w:val="2"/>
          <w:szCs w:val="32"/>
        </w:rPr>
        <w:t>地铁商业主要包含四种形式</w:t>
      </w:r>
      <w:r>
        <w:rPr>
          <w:rFonts w:hint="eastAsia" w:ascii="Times New Roman" w:hAnsi="Times New Roman"/>
          <w:kern w:val="2"/>
          <w:szCs w:val="32"/>
        </w:rPr>
        <w:t>：</w:t>
      </w:r>
      <w:r>
        <w:rPr>
          <w:rFonts w:ascii="Times New Roman" w:hAnsi="Times New Roman"/>
          <w:kern w:val="2"/>
          <w:szCs w:val="32"/>
        </w:rPr>
        <w:t>一是站厅</w:t>
      </w:r>
      <w:r>
        <w:rPr>
          <w:rFonts w:hint="eastAsia" w:ascii="Times New Roman" w:hAnsi="Times New Roman"/>
          <w:kern w:val="2"/>
          <w:szCs w:val="32"/>
        </w:rPr>
        <w:t>零星</w:t>
      </w:r>
      <w:r>
        <w:rPr>
          <w:rFonts w:ascii="Times New Roman" w:hAnsi="Times New Roman"/>
          <w:kern w:val="2"/>
          <w:szCs w:val="32"/>
        </w:rPr>
        <w:t>便民用房，二是地下附属空间，三是地上上盖结建配套用房，四是地铁周边物业。</w:t>
      </w:r>
    </w:p>
    <w:p w14:paraId="3E664E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ascii="Times New Roman" w:hAnsi="Times New Roman"/>
          <w:snapToGrid/>
          <w:kern w:val="2"/>
          <w:szCs w:val="32"/>
        </w:rPr>
      </w:pPr>
      <w:r>
        <w:rPr>
          <w:rFonts w:hint="eastAsia" w:ascii="Times New Roman" w:hAnsi="Times New Roman" w:eastAsia="宋体"/>
          <w:b/>
          <w:snapToGrid/>
          <w:kern w:val="2"/>
          <w:szCs w:val="32"/>
        </w:rPr>
        <w:t>1.</w:t>
      </w:r>
      <w:r>
        <w:rPr>
          <w:rFonts w:ascii="Times New Roman" w:hAnsi="Times New Roman"/>
          <w:b/>
          <w:snapToGrid/>
          <w:kern w:val="2"/>
          <w:szCs w:val="32"/>
        </w:rPr>
        <w:t>站厅</w:t>
      </w:r>
      <w:r>
        <w:rPr>
          <w:rFonts w:hint="eastAsia" w:ascii="Times New Roman" w:hAnsi="Times New Roman"/>
          <w:b/>
          <w:snapToGrid/>
          <w:kern w:val="2"/>
          <w:szCs w:val="32"/>
        </w:rPr>
        <w:t>零星</w:t>
      </w:r>
      <w:r>
        <w:rPr>
          <w:rFonts w:ascii="Times New Roman" w:hAnsi="Times New Roman"/>
          <w:b/>
          <w:snapToGrid/>
          <w:kern w:val="2"/>
          <w:szCs w:val="32"/>
        </w:rPr>
        <w:t>便民用房</w:t>
      </w:r>
      <w:r>
        <w:rPr>
          <w:rFonts w:hint="eastAsia" w:ascii="Times New Roman" w:hAnsi="Times New Roman" w:eastAsia="宋体"/>
          <w:b/>
          <w:snapToGrid/>
          <w:kern w:val="2"/>
          <w:szCs w:val="32"/>
        </w:rPr>
        <w:t>。</w:t>
      </w:r>
      <w:r>
        <w:rPr>
          <w:rFonts w:ascii="Times New Roman" w:hAnsi="Times New Roman"/>
          <w:snapToGrid/>
          <w:kern w:val="2"/>
          <w:szCs w:val="32"/>
        </w:rPr>
        <w:t>便民用房较为适合用于提供</w:t>
      </w:r>
      <w:r>
        <w:rPr>
          <w:rFonts w:hint="eastAsia" w:ascii="Times New Roman" w:hAnsi="Times New Roman"/>
          <w:snapToGrid/>
          <w:kern w:val="2"/>
          <w:szCs w:val="32"/>
        </w:rPr>
        <w:t>快消</w:t>
      </w:r>
      <w:r>
        <w:rPr>
          <w:rFonts w:ascii="Times New Roman" w:hAnsi="Times New Roman"/>
          <w:snapToGrid/>
          <w:kern w:val="2"/>
          <w:szCs w:val="32"/>
        </w:rPr>
        <w:t>服务，如便利店、预包装食品销售等。</w:t>
      </w:r>
      <w:r>
        <w:rPr>
          <w:rFonts w:hint="eastAsia" w:ascii="Times New Roman" w:hAnsi="Times New Roman"/>
          <w:kern w:val="2"/>
          <w:szCs w:val="32"/>
        </w:rPr>
        <w:t>我市</w:t>
      </w:r>
      <w:r>
        <w:rPr>
          <w:rFonts w:ascii="Times New Roman" w:hAnsi="Times New Roman"/>
          <w:kern w:val="2"/>
          <w:szCs w:val="32"/>
        </w:rPr>
        <w:t>地铁1、2号线各</w:t>
      </w:r>
      <w:r>
        <w:rPr>
          <w:rFonts w:ascii="Times New Roman" w:hAnsi="Times New Roman"/>
          <w:snapToGrid/>
          <w:kern w:val="2"/>
          <w:szCs w:val="32"/>
        </w:rPr>
        <w:t>站点均有便民用房，单间面积10-30平方米。</w:t>
      </w:r>
      <w:r>
        <w:rPr>
          <w:rFonts w:hint="eastAsia" w:ascii="Times New Roman" w:hAnsi="Times New Roman"/>
          <w:snapToGrid/>
          <w:kern w:val="2"/>
          <w:szCs w:val="32"/>
        </w:rPr>
        <w:t>1号线孩儿巷站、南通大学站、崇州大道站已开设罗森便利店，2号线北大街站开设ABC便利店，2号线体育公园站开设每天面包房及过路人饭团店。</w:t>
      </w:r>
    </w:p>
    <w:p w14:paraId="64F9313B"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bidi w:val="0"/>
        <w:adjustRightInd/>
        <w:spacing w:line="560" w:lineRule="exact"/>
        <w:textAlignment w:val="auto"/>
        <w:rPr>
          <w:rFonts w:ascii="Times New Roman" w:hAnsi="Times New Roman"/>
          <w:kern w:val="2"/>
          <w:szCs w:val="32"/>
        </w:rPr>
      </w:pPr>
      <w:r>
        <w:rPr>
          <w:rFonts w:hint="eastAsia" w:ascii="Times New Roman" w:hAnsi="Times New Roman"/>
          <w:b/>
          <w:snapToGrid/>
          <w:kern w:val="2"/>
          <w:szCs w:val="32"/>
        </w:rPr>
        <w:t>2.</w:t>
      </w:r>
      <w:r>
        <w:rPr>
          <w:rFonts w:ascii="Times New Roman" w:hAnsi="Times New Roman"/>
          <w:b/>
          <w:snapToGrid/>
          <w:kern w:val="2"/>
          <w:szCs w:val="32"/>
        </w:rPr>
        <w:t>地下附属空间</w:t>
      </w:r>
      <w:r>
        <w:rPr>
          <w:rFonts w:hint="eastAsia" w:ascii="Times New Roman" w:hAnsi="Times New Roman"/>
          <w:b/>
          <w:snapToGrid/>
          <w:kern w:val="2"/>
          <w:szCs w:val="32"/>
        </w:rPr>
        <w:t>。</w:t>
      </w:r>
      <w:r>
        <w:rPr>
          <w:rFonts w:ascii="Times New Roman" w:hAnsi="Times New Roman"/>
          <w:kern w:val="2"/>
          <w:szCs w:val="32"/>
        </w:rPr>
        <w:t>地下附属空间</w:t>
      </w:r>
      <w:r>
        <w:rPr>
          <w:rFonts w:hint="eastAsia" w:ascii="Times New Roman" w:hAnsi="Times New Roman"/>
          <w:kern w:val="2"/>
          <w:szCs w:val="32"/>
        </w:rPr>
        <w:t>在</w:t>
      </w:r>
      <w:r>
        <w:rPr>
          <w:rFonts w:ascii="Times New Roman" w:hAnsi="Times New Roman"/>
          <w:kern w:val="2"/>
          <w:szCs w:val="32"/>
        </w:rPr>
        <w:t>设计装修阶段已对其商业性进行充分考量，风格延续</w:t>
      </w:r>
      <w:r>
        <w:rPr>
          <w:rFonts w:hint="eastAsia" w:ascii="Times New Roman" w:hAnsi="Times New Roman"/>
          <w:kern w:val="2"/>
          <w:szCs w:val="32"/>
        </w:rPr>
        <w:t>地铁</w:t>
      </w:r>
      <w:r>
        <w:rPr>
          <w:rFonts w:ascii="Times New Roman" w:hAnsi="Times New Roman"/>
          <w:kern w:val="2"/>
          <w:szCs w:val="32"/>
        </w:rPr>
        <w:t>车站公共</w:t>
      </w:r>
      <w:r>
        <w:rPr>
          <w:rFonts w:hint="eastAsia" w:ascii="Times New Roman" w:hAnsi="Times New Roman"/>
          <w:kern w:val="2"/>
          <w:szCs w:val="32"/>
        </w:rPr>
        <w:t>区域</w:t>
      </w:r>
      <w:r>
        <w:rPr>
          <w:rFonts w:ascii="Times New Roman" w:hAnsi="Times New Roman"/>
          <w:kern w:val="2"/>
          <w:szCs w:val="32"/>
        </w:rPr>
        <w:t>。</w:t>
      </w:r>
      <w:r>
        <w:rPr>
          <w:rFonts w:hint="eastAsia" w:ascii="Times New Roman" w:hAnsi="Times New Roman"/>
          <w:kern w:val="2"/>
          <w:szCs w:val="32"/>
        </w:rPr>
        <w:t>目前南通地铁已开发的</w:t>
      </w:r>
      <w:r>
        <w:rPr>
          <w:rFonts w:ascii="Times New Roman" w:hAnsi="Times New Roman"/>
          <w:kern w:val="2"/>
          <w:szCs w:val="32"/>
        </w:rPr>
        <w:t>地下附属空间包括1号线友谊桥站、文峰站、图书馆站、南通大学站</w:t>
      </w:r>
      <w:r>
        <w:rPr>
          <w:rFonts w:hint="eastAsia" w:ascii="Times New Roman" w:hAnsi="Times New Roman"/>
          <w:kern w:val="2"/>
          <w:szCs w:val="32"/>
        </w:rPr>
        <w:t>以及</w:t>
      </w:r>
      <w:r>
        <w:rPr>
          <w:rFonts w:ascii="Times New Roman" w:hAnsi="Times New Roman"/>
          <w:kern w:val="2"/>
          <w:szCs w:val="32"/>
        </w:rPr>
        <w:t>2号线体育公园站</w:t>
      </w:r>
      <w:r>
        <w:rPr>
          <w:rFonts w:hint="eastAsia" w:ascii="Times New Roman" w:hAnsi="Times New Roman"/>
          <w:kern w:val="2"/>
          <w:szCs w:val="32"/>
        </w:rPr>
        <w:t>、</w:t>
      </w:r>
      <w:r>
        <w:rPr>
          <w:rFonts w:ascii="Times New Roman" w:hAnsi="Times New Roman"/>
          <w:kern w:val="2"/>
          <w:szCs w:val="32"/>
        </w:rPr>
        <w:t>钟秀路站。其中友谊桥站、文峰站、图书馆站分别连接南大街商圈、青年路金鹰圆融商圈、中南CBD商圈，实现了地铁与商圈的融合，地铁客流与商业客流互换互通。2号线体育公园站作为地上地下一体化项目，包括地面公园、地下负一层商业、负二层停车场，与地铁车站相融合，与南通附院、第三人民医院互联互通，提供了汽车、地铁转换便利，实现了与站点周边功能的无缝衔接，为乘客提供优质的综合体验。</w:t>
      </w:r>
    </w:p>
    <w:p w14:paraId="628FA950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left"/>
        <w:textAlignment w:val="auto"/>
        <w:rPr>
          <w:rFonts w:ascii="Times New Roman" w:hAnsi="Times New Roman"/>
          <w:kern w:val="2"/>
          <w:szCs w:val="32"/>
        </w:rPr>
      </w:pPr>
      <w:r>
        <w:rPr>
          <w:rFonts w:hint="eastAsia" w:ascii="Times New Roman" w:hAnsi="Times New Roman"/>
          <w:b/>
          <w:kern w:val="2"/>
          <w:szCs w:val="32"/>
        </w:rPr>
        <w:t>3.</w:t>
      </w:r>
      <w:r>
        <w:rPr>
          <w:rFonts w:ascii="Times New Roman" w:hAnsi="Times New Roman"/>
          <w:b/>
          <w:kern w:val="2"/>
          <w:szCs w:val="32"/>
        </w:rPr>
        <w:t>地上上盖结建配套用房</w:t>
      </w:r>
      <w:r>
        <w:rPr>
          <w:rFonts w:hint="eastAsia" w:ascii="Times New Roman" w:hAnsi="Times New Roman"/>
          <w:b/>
          <w:kern w:val="2"/>
          <w:szCs w:val="32"/>
        </w:rPr>
        <w:t>。</w:t>
      </w:r>
      <w:r>
        <w:rPr>
          <w:rFonts w:ascii="Times New Roman" w:hAnsi="Times New Roman"/>
          <w:kern w:val="2"/>
          <w:szCs w:val="32"/>
        </w:rPr>
        <w:t>上盖结建配套用房</w:t>
      </w:r>
      <w:r>
        <w:rPr>
          <w:rFonts w:hint="eastAsia" w:ascii="Times New Roman" w:hAnsi="Times New Roman"/>
          <w:kern w:val="2"/>
          <w:szCs w:val="32"/>
        </w:rPr>
        <w:t>可</w:t>
      </w:r>
      <w:r>
        <w:rPr>
          <w:rFonts w:ascii="Times New Roman" w:hAnsi="Times New Roman"/>
          <w:kern w:val="2"/>
          <w:szCs w:val="32"/>
        </w:rPr>
        <w:t>结合周边配套情况</w:t>
      </w:r>
      <w:r>
        <w:rPr>
          <w:rFonts w:hint="eastAsia" w:ascii="Times New Roman" w:hAnsi="Times New Roman"/>
          <w:kern w:val="2"/>
          <w:szCs w:val="32"/>
        </w:rPr>
        <w:t>，</w:t>
      </w:r>
      <w:r>
        <w:rPr>
          <w:rFonts w:ascii="Times New Roman" w:hAnsi="Times New Roman"/>
          <w:kern w:val="2"/>
          <w:szCs w:val="32"/>
        </w:rPr>
        <w:t>布局医院、酒店、商超及餐饮等业态。</w:t>
      </w:r>
      <w:r>
        <w:rPr>
          <w:rFonts w:hint="eastAsia" w:ascii="Times New Roman" w:hAnsi="Times New Roman"/>
          <w:kern w:val="2"/>
          <w:szCs w:val="32"/>
        </w:rPr>
        <w:t>地铁建设时，</w:t>
      </w:r>
      <w:r>
        <w:rPr>
          <w:rFonts w:ascii="Times New Roman" w:hAnsi="Times New Roman"/>
          <w:kern w:val="2"/>
          <w:szCs w:val="32"/>
        </w:rPr>
        <w:t>在1号线孩儿巷站、和平桥站、2号线五一路站建设</w:t>
      </w:r>
      <w:r>
        <w:rPr>
          <w:rFonts w:hint="eastAsia" w:ascii="Times New Roman" w:hAnsi="Times New Roman"/>
          <w:kern w:val="2"/>
          <w:szCs w:val="32"/>
        </w:rPr>
        <w:t>了</w:t>
      </w:r>
      <w:r>
        <w:rPr>
          <w:rFonts w:ascii="Times New Roman" w:hAnsi="Times New Roman"/>
          <w:kern w:val="2"/>
          <w:szCs w:val="32"/>
        </w:rPr>
        <w:t>5座上盖配套用房，总建筑面积约3万平方米。</w:t>
      </w:r>
      <w:r>
        <w:rPr>
          <w:rFonts w:hint="eastAsia" w:ascii="Times New Roman" w:hAnsi="Times New Roman"/>
          <w:kern w:val="2"/>
          <w:szCs w:val="32"/>
        </w:rPr>
        <w:t>目前，</w:t>
      </w:r>
      <w:r>
        <w:rPr>
          <w:rFonts w:ascii="Times New Roman" w:hAnsi="Times New Roman"/>
          <w:kern w:val="2"/>
          <w:szCs w:val="32"/>
        </w:rPr>
        <w:t>孩儿巷站上盖已引进北京中诺口腔医院</w:t>
      </w:r>
      <w:r>
        <w:rPr>
          <w:rFonts w:hint="eastAsia" w:ascii="Times New Roman" w:hAnsi="Times New Roman"/>
          <w:kern w:val="2"/>
          <w:szCs w:val="32"/>
        </w:rPr>
        <w:t>。</w:t>
      </w:r>
      <w:r>
        <w:rPr>
          <w:rFonts w:ascii="Times New Roman" w:hAnsi="Times New Roman"/>
          <w:kern w:val="2"/>
          <w:szCs w:val="32"/>
        </w:rPr>
        <w:t>五一路站位于高职院校聚集区，考虑周边充足的学生客流，拟引进餐饮美食城项目。</w:t>
      </w:r>
    </w:p>
    <w:p w14:paraId="11CC5D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ascii="Times New Roman" w:hAnsi="Times New Roman"/>
          <w:snapToGrid/>
          <w:kern w:val="2"/>
          <w:szCs w:val="32"/>
        </w:rPr>
      </w:pPr>
      <w:r>
        <w:rPr>
          <w:rFonts w:hint="eastAsia" w:ascii="Times New Roman" w:hAnsi="Times New Roman" w:eastAsia="宋体"/>
          <w:b/>
          <w:snapToGrid/>
          <w:kern w:val="2"/>
          <w:szCs w:val="32"/>
        </w:rPr>
        <w:t>4.</w:t>
      </w:r>
      <w:r>
        <w:rPr>
          <w:rFonts w:ascii="Times New Roman" w:hAnsi="Times New Roman"/>
          <w:b/>
          <w:snapToGrid/>
          <w:kern w:val="2"/>
          <w:szCs w:val="32"/>
        </w:rPr>
        <w:t>地铁周边物业</w:t>
      </w:r>
      <w:r>
        <w:rPr>
          <w:rFonts w:hint="eastAsia" w:ascii="Times New Roman" w:hAnsi="Times New Roman" w:eastAsia="宋体"/>
          <w:b/>
          <w:snapToGrid/>
          <w:kern w:val="2"/>
          <w:szCs w:val="32"/>
        </w:rPr>
        <w:t>。</w:t>
      </w:r>
      <w:r>
        <w:rPr>
          <w:rFonts w:ascii="Times New Roman" w:hAnsi="Times New Roman"/>
          <w:snapToGrid/>
          <w:kern w:val="2"/>
          <w:szCs w:val="32"/>
        </w:rPr>
        <w:t>在地铁1号线静海大道站</w:t>
      </w:r>
      <w:r>
        <w:rPr>
          <w:rFonts w:hint="eastAsia" w:ascii="Times New Roman" w:hAnsi="Times New Roman"/>
          <w:snapToGrid/>
          <w:kern w:val="2"/>
          <w:szCs w:val="32"/>
        </w:rPr>
        <w:t>，建设了</w:t>
      </w:r>
      <w:r>
        <w:rPr>
          <w:rFonts w:ascii="Times New Roman" w:hAnsi="Times New Roman"/>
          <w:snapToGrid/>
          <w:kern w:val="2"/>
          <w:szCs w:val="32"/>
        </w:rPr>
        <w:t>南通首个TOD住宅项目</w:t>
      </w:r>
      <w:r>
        <w:rPr>
          <w:rFonts w:hint="eastAsia" w:ascii="Times New Roman" w:hAnsi="Times New Roman"/>
          <w:snapToGrid/>
          <w:kern w:val="2"/>
          <w:szCs w:val="32"/>
        </w:rPr>
        <w:t>——元</w:t>
      </w:r>
      <w:r>
        <w:rPr>
          <w:rFonts w:ascii="Times New Roman" w:hAnsi="Times New Roman"/>
          <w:snapToGrid/>
          <w:kern w:val="2"/>
          <w:szCs w:val="32"/>
        </w:rPr>
        <w:t>瑞雅苑</w:t>
      </w:r>
      <w:r>
        <w:rPr>
          <w:rFonts w:hint="eastAsia" w:ascii="Times New Roman" w:hAnsi="Times New Roman"/>
          <w:snapToGrid/>
          <w:kern w:val="2"/>
          <w:szCs w:val="32"/>
        </w:rPr>
        <w:t>。</w:t>
      </w:r>
      <w:r>
        <w:rPr>
          <w:rFonts w:ascii="Times New Roman" w:hAnsi="Times New Roman"/>
          <w:snapToGrid/>
          <w:kern w:val="2"/>
          <w:szCs w:val="32"/>
        </w:rPr>
        <w:t>项目占地面积38775平方米，建设住宅楼9幢，设置配套商业约5000平方米。将地铁站点出入口与住宅项目相结合，打造集生活、购物、休闲、娱乐于一体的立体、高效、集约的城市生活空间。</w:t>
      </w:r>
    </w:p>
    <w:p w14:paraId="417A65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ascii="Times New Roman" w:hAnsi="Times New Roman" w:eastAsia="黑体"/>
          <w:snapToGrid/>
          <w:kern w:val="2"/>
          <w:szCs w:val="32"/>
        </w:rPr>
      </w:pPr>
      <w:r>
        <w:rPr>
          <w:rFonts w:hint="eastAsia" w:ascii="Times New Roman" w:hAnsi="Times New Roman" w:eastAsia="黑体"/>
          <w:snapToGrid/>
          <w:kern w:val="2"/>
          <w:szCs w:val="32"/>
        </w:rPr>
        <w:t>二、下一步工作打算</w:t>
      </w:r>
    </w:p>
    <w:p w14:paraId="756976D2"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bidi w:val="0"/>
        <w:adjustRightInd/>
        <w:spacing w:line="560" w:lineRule="exact"/>
        <w:textAlignment w:val="auto"/>
        <w:rPr>
          <w:rFonts w:ascii="Times New Roman" w:hAnsi="Times New Roman"/>
          <w:snapToGrid/>
          <w:kern w:val="2"/>
          <w:szCs w:val="32"/>
        </w:rPr>
      </w:pPr>
      <w:r>
        <w:rPr>
          <w:rFonts w:hint="eastAsia" w:ascii="Times New Roman" w:hAnsi="Times New Roman"/>
          <w:snapToGrid/>
          <w:kern w:val="2"/>
          <w:szCs w:val="32"/>
        </w:rPr>
        <w:t>下一阶段，我们将积极吸收您</w:t>
      </w:r>
      <w:r>
        <w:rPr>
          <w:rFonts w:ascii="Times New Roman" w:hAnsi="Times New Roman"/>
          <w:snapToGrid/>
          <w:kern w:val="2"/>
          <w:szCs w:val="32"/>
        </w:rPr>
        <w:t>提出的</w:t>
      </w:r>
      <w:r>
        <w:rPr>
          <w:rFonts w:hint="eastAsia" w:ascii="Times New Roman" w:hAnsi="Times New Roman"/>
          <w:snapToGrid/>
          <w:kern w:val="2"/>
          <w:szCs w:val="32"/>
        </w:rPr>
        <w:t>建议，会同有关方面，借鉴国际国内先进城市地铁商业发展经验，结合我市实际，进一步探索发展地铁商业经济。</w:t>
      </w:r>
    </w:p>
    <w:p w14:paraId="731165EF"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bidi w:val="0"/>
        <w:adjustRightInd/>
        <w:spacing w:line="560" w:lineRule="exact"/>
        <w:textAlignment w:val="auto"/>
        <w:rPr>
          <w:rFonts w:ascii="Times New Roman" w:hAnsi="Times New Roman"/>
          <w:snapToGrid/>
          <w:kern w:val="2"/>
          <w:szCs w:val="32"/>
        </w:rPr>
      </w:pPr>
      <w:r>
        <w:rPr>
          <w:rFonts w:hint="eastAsia" w:ascii="方正楷体_GBK" w:hAnsi="方正楷体_GBK" w:eastAsia="方正楷体_GBK" w:cs="方正楷体_GBK"/>
          <w:szCs w:val="32"/>
        </w:rPr>
        <w:t>一是做好地铁商业规划。</w:t>
      </w:r>
      <w:r>
        <w:rPr>
          <w:rFonts w:hint="eastAsia" w:ascii="Times New Roman" w:hAnsi="Times New Roman"/>
          <w:snapToGrid/>
          <w:kern w:val="2"/>
          <w:szCs w:val="32"/>
        </w:rPr>
        <w:t>在编制《南通市城市商业网点布局规划（2021-2035年）》时</w:t>
      </w:r>
      <w:r>
        <w:rPr>
          <w:rFonts w:ascii="Times New Roman" w:hAnsi="Times New Roman"/>
          <w:snapToGrid/>
          <w:kern w:val="2"/>
          <w:szCs w:val="32"/>
        </w:rPr>
        <w:t>纳入</w:t>
      </w:r>
      <w:r>
        <w:rPr>
          <w:rFonts w:hint="eastAsia" w:ascii="Times New Roman" w:hAnsi="Times New Roman"/>
          <w:snapToGrid/>
          <w:kern w:val="2"/>
          <w:szCs w:val="32"/>
        </w:rPr>
        <w:t>地铁商业规划，推动地铁与商业规划融合。坚持统筹协调、集约高效的原则，综合协调周边用地，提高土地利用率。借鉴杭州、深圳、成都、</w:t>
      </w:r>
      <w:r>
        <w:rPr>
          <w:rFonts w:ascii="Times New Roman" w:hAnsi="Times New Roman"/>
          <w:snapToGrid/>
          <w:kern w:val="2"/>
          <w:szCs w:val="32"/>
        </w:rPr>
        <w:t>武汉等先进</w:t>
      </w:r>
      <w:r>
        <w:rPr>
          <w:rFonts w:hint="eastAsia" w:ascii="Times New Roman" w:hAnsi="Times New Roman"/>
          <w:snapToGrid/>
          <w:kern w:val="2"/>
          <w:szCs w:val="32"/>
        </w:rPr>
        <w:t>城市的经验，探索以主城区部分地铁枢纽为核心，发挥地铁快速集散优势，以年轻消费群体为主要对象，以</w:t>
      </w:r>
      <w:r>
        <w:rPr>
          <w:rFonts w:hint="eastAsia" w:ascii="Times New Roman" w:hAnsi="Times New Roman"/>
          <w:snapToGrid/>
          <w:kern w:val="2"/>
          <w:szCs w:val="32"/>
          <w:lang w:eastAsia="zh-CN"/>
        </w:rPr>
        <w:t>“</w:t>
      </w:r>
      <w:r>
        <w:rPr>
          <w:rFonts w:hint="eastAsia" w:ascii="Times New Roman" w:hAnsi="Times New Roman"/>
          <w:snapToGrid/>
          <w:kern w:val="2"/>
          <w:szCs w:val="32"/>
        </w:rPr>
        <w:t>新鲜</w:t>
      </w:r>
      <w:r>
        <w:rPr>
          <w:rFonts w:hint="eastAsia" w:ascii="Times New Roman" w:hAnsi="Times New Roman"/>
          <w:snapToGrid/>
          <w:kern w:val="2"/>
          <w:szCs w:val="32"/>
          <w:lang w:eastAsia="zh-CN"/>
        </w:rPr>
        <w:t>”“</w:t>
      </w:r>
      <w:r>
        <w:rPr>
          <w:rFonts w:hint="eastAsia" w:ascii="Times New Roman" w:hAnsi="Times New Roman"/>
          <w:snapToGrid/>
          <w:kern w:val="2"/>
          <w:szCs w:val="32"/>
        </w:rPr>
        <w:t>潮流</w:t>
      </w:r>
      <w:r>
        <w:rPr>
          <w:rFonts w:hint="eastAsia" w:ascii="Times New Roman" w:hAnsi="Times New Roman"/>
          <w:snapToGrid/>
          <w:kern w:val="2"/>
          <w:szCs w:val="32"/>
          <w:lang w:eastAsia="zh-CN"/>
        </w:rPr>
        <w:t>”“</w:t>
      </w:r>
      <w:r>
        <w:rPr>
          <w:rFonts w:hint="eastAsia" w:ascii="Times New Roman" w:hAnsi="Times New Roman"/>
          <w:snapToGrid/>
          <w:kern w:val="2"/>
          <w:szCs w:val="32"/>
        </w:rPr>
        <w:t>前卫</w:t>
      </w:r>
      <w:r>
        <w:rPr>
          <w:rFonts w:hint="eastAsia" w:ascii="Times New Roman" w:hAnsi="Times New Roman"/>
          <w:snapToGrid/>
          <w:kern w:val="2"/>
          <w:szCs w:val="32"/>
          <w:lang w:eastAsia="zh-CN"/>
        </w:rPr>
        <w:t>”</w:t>
      </w:r>
      <w:r>
        <w:rPr>
          <w:rFonts w:hint="eastAsia" w:ascii="Times New Roman" w:hAnsi="Times New Roman"/>
          <w:snapToGrid/>
          <w:kern w:val="2"/>
          <w:szCs w:val="32"/>
        </w:rPr>
        <w:t>为属性，融入科技、文化、艺术，打造</w:t>
      </w:r>
      <w:r>
        <w:rPr>
          <w:rFonts w:hint="eastAsia" w:ascii="Times New Roman" w:hAnsi="Times New Roman"/>
          <w:snapToGrid/>
          <w:kern w:val="2"/>
          <w:szCs w:val="32"/>
          <w:lang w:eastAsia="zh-CN"/>
        </w:rPr>
        <w:t>“</w:t>
      </w:r>
      <w:r>
        <w:rPr>
          <w:rFonts w:hint="eastAsia" w:ascii="Times New Roman" w:hAnsi="Times New Roman"/>
          <w:snapToGrid/>
          <w:kern w:val="2"/>
          <w:szCs w:val="32"/>
        </w:rPr>
        <w:t>美学地标</w:t>
      </w:r>
      <w:r>
        <w:rPr>
          <w:rFonts w:hint="eastAsia" w:ascii="Times New Roman" w:hAnsi="Times New Roman"/>
          <w:snapToGrid/>
          <w:kern w:val="2"/>
          <w:szCs w:val="32"/>
          <w:lang w:eastAsia="zh-CN"/>
        </w:rPr>
        <w:t>”“</w:t>
      </w:r>
      <w:r>
        <w:rPr>
          <w:rFonts w:hint="eastAsia" w:ascii="Times New Roman" w:hAnsi="Times New Roman"/>
          <w:snapToGrid/>
          <w:kern w:val="2"/>
          <w:szCs w:val="32"/>
        </w:rPr>
        <w:t>吸睛</w:t>
      </w:r>
      <w:r>
        <w:rPr>
          <w:rFonts w:hint="eastAsia" w:ascii="Times New Roman" w:hAnsi="Times New Roman"/>
          <w:snapToGrid/>
          <w:kern w:val="2"/>
          <w:szCs w:val="32"/>
          <w:lang w:eastAsia="zh-CN"/>
        </w:rPr>
        <w:t>”</w:t>
      </w:r>
      <w:r>
        <w:rPr>
          <w:rFonts w:hint="eastAsia" w:ascii="Times New Roman" w:hAnsi="Times New Roman"/>
          <w:snapToGrid/>
          <w:kern w:val="2"/>
          <w:szCs w:val="32"/>
        </w:rPr>
        <w:t>式的地铁商业。</w:t>
      </w:r>
    </w:p>
    <w:p w14:paraId="01D023BC"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bidi w:val="0"/>
        <w:adjustRightInd/>
        <w:spacing w:line="560" w:lineRule="exact"/>
        <w:textAlignment w:val="auto"/>
        <w:rPr>
          <w:rFonts w:ascii="Times New Roman" w:hAnsi="Times New Roman"/>
          <w:snapToGrid/>
          <w:kern w:val="2"/>
          <w:szCs w:val="32"/>
        </w:rPr>
      </w:pPr>
      <w:r>
        <w:rPr>
          <w:rFonts w:hint="eastAsia" w:ascii="方正楷体_GBK" w:hAnsi="方正楷体_GBK" w:eastAsia="方正楷体_GBK" w:cs="方正楷体_GBK"/>
          <w:szCs w:val="32"/>
        </w:rPr>
        <w:t>二是提升业态品质。</w:t>
      </w:r>
      <w:r>
        <w:rPr>
          <w:rFonts w:hint="eastAsia" w:ascii="Times New Roman" w:hAnsi="Times New Roman"/>
          <w:snapToGrid/>
          <w:kern w:val="2"/>
          <w:szCs w:val="32"/>
        </w:rPr>
        <w:t>综合考虑不同类型站点的地理位置、不同客群消费需求、商圈辐射范围等因素，因地制宜、分类规划周边商圈商业，逐步形成中高端商铺、生活性商业等差异化网点合理分布的轨道交通站点商业生态。在老年群体集聚的站点，引入药店、快餐店、生鲜菜店等基础业态；在年轻消费群体集聚的站点，在便利店、面包店、熟食店等传统业态基础上，引入品质早餐、鲜花礼品、美工文创等品质业态。注重考量站点的空间条件与载客能力，合理确定商业规模，与周边商圈形成有机衔接。</w:t>
      </w:r>
    </w:p>
    <w:p w14:paraId="3398EBC7"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bidi w:val="0"/>
        <w:adjustRightInd/>
        <w:spacing w:line="560" w:lineRule="exact"/>
        <w:textAlignment w:val="auto"/>
        <w:rPr>
          <w:rFonts w:ascii="Times New Roman" w:hAnsi="Times New Roman"/>
          <w:kern w:val="2"/>
          <w:szCs w:val="32"/>
        </w:rPr>
      </w:pPr>
      <w:r>
        <w:rPr>
          <w:rFonts w:hint="eastAsia" w:ascii="方正楷体_GBK" w:hAnsi="方正楷体_GBK" w:eastAsia="方正楷体_GBK" w:cs="方正楷体_GBK"/>
          <w:szCs w:val="32"/>
        </w:rPr>
        <w:t>三是开展整合营销。</w:t>
      </w:r>
      <w:r>
        <w:rPr>
          <w:rFonts w:hint="eastAsia" w:ascii="Times New Roman" w:hAnsi="Times New Roman"/>
          <w:b/>
          <w:bCs/>
          <w:snapToGrid/>
          <w:kern w:val="2"/>
          <w:szCs w:val="32"/>
        </w:rPr>
        <w:t>突出沉浸式体验。</w:t>
      </w:r>
      <w:r>
        <w:rPr>
          <w:rFonts w:hint="eastAsia" w:ascii="Times New Roman" w:hAnsi="Times New Roman"/>
          <w:snapToGrid/>
          <w:kern w:val="2"/>
          <w:szCs w:val="32"/>
        </w:rPr>
        <w:t>运用信息技术与现代服务理念，与地铁周边街区、院校、文博场所相融合，构建智慧型商圈新场景，变</w:t>
      </w:r>
      <w:r>
        <w:rPr>
          <w:rFonts w:hint="eastAsia" w:ascii="Times New Roman" w:hAnsi="Times New Roman"/>
          <w:snapToGrid/>
          <w:kern w:val="2"/>
          <w:szCs w:val="32"/>
          <w:lang w:eastAsia="zh-CN"/>
        </w:rPr>
        <w:t>“</w:t>
      </w:r>
      <w:r>
        <w:rPr>
          <w:rFonts w:hint="eastAsia" w:ascii="Times New Roman" w:hAnsi="Times New Roman"/>
          <w:snapToGrid/>
          <w:kern w:val="2"/>
          <w:szCs w:val="32"/>
        </w:rPr>
        <w:t>人流</w:t>
      </w:r>
      <w:r>
        <w:rPr>
          <w:rFonts w:hint="eastAsia" w:ascii="Times New Roman" w:hAnsi="Times New Roman"/>
          <w:snapToGrid/>
          <w:kern w:val="2"/>
          <w:szCs w:val="32"/>
          <w:lang w:eastAsia="zh-CN"/>
        </w:rPr>
        <w:t>”</w:t>
      </w:r>
      <w:r>
        <w:rPr>
          <w:rFonts w:hint="eastAsia" w:ascii="Times New Roman" w:hAnsi="Times New Roman"/>
          <w:snapToGrid/>
          <w:kern w:val="2"/>
          <w:szCs w:val="32"/>
        </w:rPr>
        <w:t>为</w:t>
      </w:r>
      <w:r>
        <w:rPr>
          <w:rFonts w:hint="eastAsia" w:ascii="Times New Roman" w:hAnsi="Times New Roman"/>
          <w:snapToGrid/>
          <w:kern w:val="2"/>
          <w:szCs w:val="32"/>
          <w:lang w:eastAsia="zh-CN"/>
        </w:rPr>
        <w:t>“</w:t>
      </w:r>
      <w:r>
        <w:rPr>
          <w:rFonts w:hint="eastAsia" w:ascii="Times New Roman" w:hAnsi="Times New Roman"/>
          <w:snapToGrid/>
          <w:kern w:val="2"/>
          <w:szCs w:val="32"/>
        </w:rPr>
        <w:t>人留</w:t>
      </w:r>
      <w:r>
        <w:rPr>
          <w:rFonts w:hint="eastAsia" w:ascii="Times New Roman" w:hAnsi="Times New Roman"/>
          <w:snapToGrid/>
          <w:kern w:val="2"/>
          <w:szCs w:val="32"/>
          <w:lang w:eastAsia="zh-CN"/>
        </w:rPr>
        <w:t>”</w:t>
      </w:r>
      <w:r>
        <w:rPr>
          <w:rFonts w:hint="eastAsia" w:ascii="Times New Roman" w:hAnsi="Times New Roman"/>
          <w:snapToGrid/>
          <w:kern w:val="2"/>
          <w:szCs w:val="32"/>
        </w:rPr>
        <w:t>。</w:t>
      </w:r>
      <w:r>
        <w:rPr>
          <w:rFonts w:hint="eastAsia" w:ascii="Times New Roman" w:hAnsi="Times New Roman"/>
          <w:b/>
          <w:bCs/>
          <w:snapToGrid/>
          <w:kern w:val="2"/>
          <w:szCs w:val="32"/>
        </w:rPr>
        <w:t>借力大平台。</w:t>
      </w:r>
      <w:r>
        <w:rPr>
          <w:rFonts w:hint="eastAsia" w:ascii="Times New Roman" w:hAnsi="Times New Roman"/>
          <w:snapToGrid/>
          <w:kern w:val="2"/>
          <w:szCs w:val="32"/>
        </w:rPr>
        <w:t>发挥地铁大平台优势，将各种传统的商业资源化零为整、有机整合。</w:t>
      </w:r>
      <w:r>
        <w:rPr>
          <w:rFonts w:hint="eastAsia" w:ascii="Times New Roman" w:hAnsi="Times New Roman"/>
          <w:b/>
          <w:bCs/>
          <w:snapToGrid/>
          <w:kern w:val="2"/>
          <w:szCs w:val="32"/>
        </w:rPr>
        <w:t>发展</w:t>
      </w:r>
      <w:r>
        <w:rPr>
          <w:rFonts w:hint="eastAsia" w:ascii="Times New Roman" w:hAnsi="Times New Roman"/>
          <w:b/>
          <w:bCs/>
          <w:snapToGrid/>
          <w:kern w:val="2"/>
          <w:szCs w:val="32"/>
          <w:lang w:eastAsia="zh-CN"/>
        </w:rPr>
        <w:t>“</w:t>
      </w:r>
      <w:r>
        <w:rPr>
          <w:rFonts w:hint="eastAsia" w:ascii="Times New Roman" w:hAnsi="Times New Roman"/>
          <w:b/>
          <w:bCs/>
          <w:snapToGrid/>
          <w:kern w:val="2"/>
          <w:szCs w:val="32"/>
        </w:rPr>
        <w:t>线上+线下</w:t>
      </w:r>
      <w:r>
        <w:rPr>
          <w:rFonts w:hint="eastAsia" w:ascii="Times New Roman" w:hAnsi="Times New Roman"/>
          <w:b/>
          <w:bCs/>
          <w:snapToGrid/>
          <w:kern w:val="2"/>
          <w:szCs w:val="32"/>
          <w:lang w:eastAsia="zh-CN"/>
        </w:rPr>
        <w:t>”</w:t>
      </w:r>
      <w:r>
        <w:rPr>
          <w:rFonts w:hint="eastAsia" w:ascii="Times New Roman" w:hAnsi="Times New Roman"/>
          <w:b/>
          <w:bCs/>
          <w:snapToGrid/>
          <w:kern w:val="2"/>
          <w:szCs w:val="32"/>
        </w:rPr>
        <w:t>。</w:t>
      </w:r>
      <w:r>
        <w:rPr>
          <w:rFonts w:hint="eastAsia" w:ascii="Times New Roman" w:hAnsi="Times New Roman"/>
          <w:snapToGrid/>
          <w:kern w:val="2"/>
          <w:szCs w:val="32"/>
        </w:rPr>
        <w:t>鼓励电商平台在地铁设置智慧设备，上班族在单位提前预订好商品，乘坐地铁时顺道取回。拓宽引流渠道。</w:t>
      </w:r>
      <w:r>
        <w:rPr>
          <w:rFonts w:hint="eastAsia" w:ascii="Times New Roman" w:hAnsi="Times New Roman"/>
          <w:b/>
          <w:bCs/>
          <w:snapToGrid/>
          <w:kern w:val="2"/>
          <w:szCs w:val="32"/>
        </w:rPr>
        <w:t>搭建立体宣传矩阵。</w:t>
      </w:r>
      <w:r>
        <w:rPr>
          <w:rFonts w:hint="eastAsia" w:ascii="Times New Roman" w:hAnsi="Times New Roman"/>
          <w:snapToGrid/>
          <w:kern w:val="2"/>
          <w:szCs w:val="32"/>
        </w:rPr>
        <w:t>鼓励商家以移动端和PC端为工具，依托微博、微信、抖音等多种渠道，策划</w:t>
      </w:r>
      <w:r>
        <w:rPr>
          <w:rFonts w:hint="eastAsia" w:ascii="Times New Roman" w:hAnsi="Times New Roman"/>
          <w:snapToGrid/>
          <w:kern w:val="2"/>
          <w:szCs w:val="32"/>
          <w:lang w:eastAsia="zh-CN"/>
        </w:rPr>
        <w:t>“</w:t>
      </w:r>
      <w:r>
        <w:rPr>
          <w:rFonts w:hint="eastAsia" w:ascii="Times New Roman" w:hAnsi="Times New Roman"/>
          <w:snapToGrid/>
          <w:kern w:val="2"/>
          <w:szCs w:val="32"/>
        </w:rPr>
        <w:t>乘坐地铁品美食</w:t>
      </w:r>
      <w:r>
        <w:rPr>
          <w:rFonts w:hint="eastAsia" w:ascii="Times New Roman" w:hAnsi="Times New Roman"/>
          <w:snapToGrid/>
          <w:kern w:val="2"/>
          <w:szCs w:val="32"/>
          <w:lang w:eastAsia="zh-CN"/>
        </w:rPr>
        <w:t>”</w:t>
      </w:r>
      <w:r>
        <w:rPr>
          <w:rFonts w:hint="eastAsia" w:ascii="Times New Roman" w:hAnsi="Times New Roman"/>
          <w:snapToGrid/>
          <w:kern w:val="2"/>
          <w:szCs w:val="32"/>
        </w:rPr>
        <w:t>等活动，积极开展广告宣传。</w:t>
      </w:r>
    </w:p>
    <w:p w14:paraId="45C6C24E">
      <w:pPr>
        <w:pStyle w:val="9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jc w:val="both"/>
        <w:textAlignment w:val="auto"/>
        <w:rPr>
          <w:rFonts w:ascii="Times New Roman" w:hAnsi="Times New Roman"/>
          <w:snapToGrid/>
          <w:kern w:val="2"/>
          <w:szCs w:val="32"/>
        </w:rPr>
      </w:pPr>
      <w:r>
        <w:rPr>
          <w:rFonts w:hint="eastAsia" w:ascii="Times New Roman" w:hAnsi="Times New Roman"/>
          <w:snapToGrid/>
          <w:kern w:val="2"/>
          <w:szCs w:val="32"/>
        </w:rPr>
        <w:t>专此</w:t>
      </w:r>
      <w:r>
        <w:rPr>
          <w:rFonts w:ascii="Times New Roman" w:hAnsi="Times New Roman"/>
          <w:snapToGrid/>
          <w:kern w:val="2"/>
          <w:szCs w:val="32"/>
        </w:rPr>
        <w:t>答复。</w:t>
      </w:r>
    </w:p>
    <w:p w14:paraId="3F1C1EED">
      <w:pPr>
        <w:pStyle w:val="9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left="0" w:leftChars="0" w:firstLine="0" w:firstLineChars="0"/>
        <w:jc w:val="both"/>
        <w:textAlignment w:val="auto"/>
        <w:rPr>
          <w:rFonts w:ascii="Times New Roman" w:hAnsi="Times New Roman" w:cs="Times New Roman"/>
        </w:rPr>
      </w:pPr>
      <w:bookmarkStart w:id="19" w:name="_GoBack"/>
      <w:bookmarkEnd w:id="19"/>
    </w:p>
    <w:p w14:paraId="251FFBBE">
      <w:pPr>
        <w:pStyle w:val="9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left="0" w:leftChars="0" w:firstLine="0" w:firstLineChars="0"/>
        <w:jc w:val="both"/>
        <w:textAlignment w:val="auto"/>
        <w:rPr>
          <w:rFonts w:ascii="Times New Roman" w:hAnsi="Times New Roman" w:cs="Times New Roman"/>
        </w:rPr>
      </w:pPr>
    </w:p>
    <w:p w14:paraId="11FB844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textAlignment w:val="auto"/>
        <w:rPr>
          <w:rFonts w:ascii="Times New Roman" w:hAnsi="Times New Roman"/>
          <w:snapToGrid/>
          <w:szCs w:val="32"/>
        </w:rPr>
      </w:pPr>
      <w:r>
        <w:rPr>
          <w:rFonts w:ascii="Times New Roman" w:hAnsi="Times New Roman"/>
          <w:snapToGrid/>
          <w:szCs w:val="32"/>
        </w:rPr>
        <w:t xml:space="preserve">  </w:t>
      </w:r>
      <w:r>
        <w:rPr>
          <w:rFonts w:hint="eastAsia" w:ascii="Times New Roman" w:hAnsi="Times New Roman"/>
          <w:snapToGrid/>
          <w:szCs w:val="32"/>
        </w:rPr>
        <w:t xml:space="preserve">                            </w:t>
      </w:r>
      <w:r>
        <w:rPr>
          <w:rFonts w:hint="eastAsia" w:ascii="Times New Roman" w:hAnsi="Times New Roman"/>
          <w:snapToGrid/>
          <w:szCs w:val="32"/>
          <w:lang w:val="en-US" w:eastAsia="zh-CN"/>
        </w:rPr>
        <w:t xml:space="preserve"> </w:t>
      </w:r>
      <w:r>
        <w:rPr>
          <w:rFonts w:ascii="Times New Roman" w:hAnsi="Times New Roman"/>
          <w:snapToGrid/>
          <w:szCs w:val="32"/>
        </w:rPr>
        <w:t>南通市商务局</w:t>
      </w:r>
    </w:p>
    <w:p w14:paraId="225B2C9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left="0" w:leftChars="0" w:firstLine="5495" w:firstLineChars="1739"/>
        <w:textAlignment w:val="auto"/>
        <w:rPr>
          <w:rFonts w:ascii="Times New Roman" w:hAnsi="Times New Roman"/>
          <w:snapToGrid/>
          <w:szCs w:val="32"/>
        </w:rPr>
      </w:pPr>
      <w:r>
        <w:rPr>
          <w:rFonts w:ascii="Times New Roman" w:hAnsi="Times New Roman"/>
          <w:snapToGrid/>
          <w:szCs w:val="32"/>
        </w:rPr>
        <w:t>2024年9月</w:t>
      </w:r>
      <w:r>
        <w:rPr>
          <w:rFonts w:hint="eastAsia" w:ascii="Times New Roman" w:hAnsi="Times New Roman"/>
          <w:snapToGrid/>
          <w:szCs w:val="32"/>
          <w:lang w:val="en-US" w:eastAsia="zh-CN"/>
        </w:rPr>
        <w:t>25</w:t>
      </w:r>
      <w:r>
        <w:rPr>
          <w:rFonts w:ascii="Times New Roman" w:hAnsi="Times New Roman"/>
          <w:snapToGrid/>
          <w:szCs w:val="32"/>
        </w:rPr>
        <w:t>日</w:t>
      </w:r>
    </w:p>
    <w:p w14:paraId="2570926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firstLine="0"/>
        <w:textAlignment w:val="auto"/>
        <w:rPr>
          <w:rFonts w:ascii="Times New Roman" w:hAnsi="Times New Roman"/>
          <w:snapToGrid/>
          <w:szCs w:val="32"/>
        </w:rPr>
      </w:pPr>
    </w:p>
    <w:p w14:paraId="74C03CA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left="0" w:leftChars="0" w:firstLine="0" w:firstLineChars="0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联 系 人：</w:t>
      </w:r>
      <w:r>
        <w:rPr>
          <w:rFonts w:hint="eastAsia" w:ascii="Times New Roman" w:hAnsi="Times New Roman"/>
        </w:rPr>
        <w:t>余德容</w:t>
      </w:r>
    </w:p>
    <w:p w14:paraId="0CD6E4A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left="0" w:leftChars="0" w:firstLine="0" w:firstLineChars="0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联系电话：85</w:t>
      </w:r>
      <w:r>
        <w:rPr>
          <w:rFonts w:hint="eastAsia" w:ascii="Times New Roman" w:hAnsi="Times New Roman"/>
        </w:rPr>
        <w:t>2156</w:t>
      </w:r>
      <w:r>
        <w:rPr>
          <w:rFonts w:ascii="Times New Roman" w:hAnsi="Times New Roman"/>
        </w:rPr>
        <w:t>26</w:t>
      </w:r>
    </w:p>
    <w:p w14:paraId="0FAC63D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left="0" w:leftChars="0" w:firstLine="0" w:firstLineChars="0"/>
        <w:textAlignment w:val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抄    送：市政府办公室、市政协提案委员会</w:t>
      </w:r>
    </w:p>
    <w:sectPr>
      <w:headerReference r:id="rId5" w:type="first"/>
      <w:footerReference r:id="rId8" w:type="first"/>
      <w:footerReference r:id="rId6" w:type="default"/>
      <w:footerReference r:id="rId7" w:type="even"/>
      <w:pgSz w:w="11906" w:h="16838"/>
      <w:pgMar w:top="1814" w:right="1531" w:bottom="1985" w:left="1531" w:header="720" w:footer="1474" w:gutter="0"/>
      <w:paperSrc w:first="15" w:other="15"/>
      <w:pgNumType w:start="1"/>
      <w:cols w:space="720" w:num="1"/>
      <w:titlePg/>
      <w:docGrid w:type="linesAndChars" w:linePitch="590" w:charSpace="-102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汉鼎简大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鼎简仿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813538">
    <w:pPr>
      <w:pStyle w:val="7"/>
      <w:rPr>
        <w:rFonts w:hAnsi="Times New Roman"/>
      </w:rPr>
    </w:pPr>
    <w:r>
      <w:rPr>
        <w:rFonts w:hAnsi="Times New Roman"/>
      </w:rPr>
      <w:t xml:space="preserve">— </w:t>
    </w:r>
    <w:r>
      <w:rPr>
        <w:rFonts w:hAnsi="Times New Roman"/>
      </w:rPr>
      <w:fldChar w:fldCharType="begin"/>
    </w:r>
    <w:r>
      <w:rPr>
        <w:rFonts w:hAnsi="Times New Roman"/>
      </w:rPr>
      <w:instrText xml:space="preserve"> PAGE </w:instrText>
    </w:r>
    <w:r>
      <w:rPr>
        <w:rFonts w:hAnsi="Times New Roman"/>
      </w:rPr>
      <w:fldChar w:fldCharType="separate"/>
    </w:r>
    <w:r>
      <w:rPr>
        <w:rFonts w:hAnsi="Times New Roman"/>
      </w:rPr>
      <w:t>3</w:t>
    </w:r>
    <w:r>
      <w:rPr>
        <w:rFonts w:hAnsi="Times New Roman"/>
      </w:rPr>
      <w:fldChar w:fldCharType="end"/>
    </w:r>
    <w:r>
      <w:rPr>
        <w:rFonts w:hAnsi="Times New Roman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2E739A">
    <w:pPr>
      <w:pStyle w:val="7"/>
      <w:ind w:right="560"/>
      <w:jc w:val="both"/>
      <w:rPr>
        <w:rFonts w:hAnsi="Times New Roman"/>
      </w:rPr>
    </w:pPr>
    <w:r>
      <w:rPr>
        <w:rFonts w:hAnsi="Times New Roman"/>
      </w:rPr>
      <w:t xml:space="preserve">— </w:t>
    </w:r>
    <w:r>
      <w:rPr>
        <w:rFonts w:hAnsi="Times New Roman"/>
      </w:rPr>
      <w:fldChar w:fldCharType="begin"/>
    </w:r>
    <w:r>
      <w:rPr>
        <w:rFonts w:hAnsi="Times New Roman"/>
      </w:rPr>
      <w:instrText xml:space="preserve"> PAGE </w:instrText>
    </w:r>
    <w:r>
      <w:rPr>
        <w:rFonts w:hAnsi="Times New Roman"/>
      </w:rPr>
      <w:fldChar w:fldCharType="separate"/>
    </w:r>
    <w:r>
      <w:rPr>
        <w:rFonts w:hAnsi="Times New Roman"/>
      </w:rPr>
      <w:t>4</w:t>
    </w:r>
    <w:r>
      <w:rPr>
        <w:rFonts w:hAnsi="Times New Roman"/>
      </w:rPr>
      <w:fldChar w:fldCharType="end"/>
    </w:r>
    <w:r>
      <w:rPr>
        <w:rFonts w:hAnsi="Times New Roman"/>
      </w:rPr>
      <w:t xml:space="preserve">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8CD30F">
    <w:pPr>
      <w:pStyle w:val="20"/>
      <w:snapToGrid w:val="0"/>
      <w:spacing w:after="120" w:line="120" w:lineRule="atLeast"/>
      <w:ind w:left="-57" w:right="-57"/>
      <w:rPr>
        <w:rFonts w:ascii="宋体"/>
      </w:rPr>
    </w:pPr>
    <w:r>
      <w:rPr>
        <w:rFonts w:ascii="宋体" w:hAnsi="汉鼎简仿宋"/>
      </w:rPr>
      <w:object>
        <v:shape id="_x0000_i1026" o:spt="75" type="#_x0000_t75" style="height:6pt;width:445.5pt;" o:ole="t" fillcolor="#6D6D6D" filled="f" o:preferrelative="t" stroked="f" coordsize="21600,21600">
          <v:path/>
          <v:fill on="f" focussize="0,0"/>
          <v:stroke on="f" joinstyle="miter"/>
          <v:imagedata r:id="rId2" o:title=""/>
          <o:lock v:ext="edit" aspectratio="t"/>
          <w10:wrap type="none"/>
          <w10:anchorlock/>
        </v:shape>
        <o:OLEObject Type="Embed" ProgID="Word.Picture.8" ShapeID="_x0000_i1026" DrawAspect="Content" ObjectID="_1468075725" r:id="rId1">
          <o:LockedField>false</o:LockedField>
        </o:OLEObject>
      </w:obje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7AE406"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kinsoku/>
      <w:wordWrap/>
      <w:overflowPunct/>
      <w:topLinePunct w:val="0"/>
      <w:bidi w:val="0"/>
      <w:adjustRightInd/>
      <w:snapToGrid w:val="0"/>
      <w:spacing w:line="440" w:lineRule="exact"/>
      <w:ind w:firstLine="624"/>
      <w:jc w:val="right"/>
      <w:textAlignment w:val="auto"/>
      <w:rPr>
        <w:rFonts w:ascii="方正黑体_GBK" w:hAnsi="方正黑体_GBK" w:eastAsia="方正黑体_GBK" w:cs="方正黑体_GBK"/>
        <w:snapToGrid/>
        <w:szCs w:val="32"/>
      </w:rPr>
    </w:pPr>
    <w:r>
      <w:rPr>
        <w:rFonts w:hint="eastAsia" w:ascii="方正黑体_GBK" w:hAnsi="方正黑体_GBK" w:eastAsia="方正黑体_GBK" w:cs="方正黑体_GBK"/>
        <w:snapToGrid/>
        <w:szCs w:val="32"/>
      </w:rPr>
      <w:t>A</w:t>
    </w:r>
  </w:p>
  <w:p w14:paraId="576595B3">
    <w:pPr>
      <w:pStyle w:val="8"/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kinsoku/>
      <w:wordWrap/>
      <w:overflowPunct/>
      <w:topLinePunct w:val="0"/>
      <w:bidi w:val="0"/>
      <w:adjustRightInd/>
      <w:snapToGrid w:val="0"/>
      <w:spacing w:line="440" w:lineRule="exact"/>
      <w:ind w:firstLine="624"/>
      <w:jc w:val="right"/>
      <w:textAlignment w:val="auto"/>
    </w:pPr>
    <w:r>
      <w:rPr>
        <w:rFonts w:hint="eastAsia" w:ascii="方正黑体_GBK" w:hAnsi="方正黑体_GBK" w:eastAsia="方正黑体_GBK" w:cs="方正黑体_GBK"/>
        <w:snapToGrid/>
        <w:sz w:val="32"/>
        <w:szCs w:val="32"/>
      </w:rPr>
      <w:t>公开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evenAndOddHeaders w:val="1"/>
  <w:drawingGridHorizontalSpacing w:val="315"/>
  <w:drawingGridVerticalSpacing w:val="295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Y5YmI3ODY2MDc0ZDkyZGJhYWU3NzM0ZGIzNjRmYzMifQ=="/>
  </w:docVars>
  <w:rsids>
    <w:rsidRoot w:val="335D7515"/>
    <w:rsid w:val="00016C15"/>
    <w:rsid w:val="00026B24"/>
    <w:rsid w:val="000433F0"/>
    <w:rsid w:val="00052090"/>
    <w:rsid w:val="00073484"/>
    <w:rsid w:val="000A08E7"/>
    <w:rsid w:val="000D05AF"/>
    <w:rsid w:val="000E5011"/>
    <w:rsid w:val="0011031D"/>
    <w:rsid w:val="00141171"/>
    <w:rsid w:val="00224B21"/>
    <w:rsid w:val="00224CEE"/>
    <w:rsid w:val="002E5B14"/>
    <w:rsid w:val="00304EB5"/>
    <w:rsid w:val="00314A33"/>
    <w:rsid w:val="00331BC2"/>
    <w:rsid w:val="00362577"/>
    <w:rsid w:val="0037319F"/>
    <w:rsid w:val="003E3EDF"/>
    <w:rsid w:val="003F2247"/>
    <w:rsid w:val="00405395"/>
    <w:rsid w:val="004708DB"/>
    <w:rsid w:val="00483704"/>
    <w:rsid w:val="00493D23"/>
    <w:rsid w:val="00497A18"/>
    <w:rsid w:val="004C27CB"/>
    <w:rsid w:val="004D206B"/>
    <w:rsid w:val="00501537"/>
    <w:rsid w:val="00506D30"/>
    <w:rsid w:val="00534131"/>
    <w:rsid w:val="005648CB"/>
    <w:rsid w:val="00567D95"/>
    <w:rsid w:val="00583418"/>
    <w:rsid w:val="0064023B"/>
    <w:rsid w:val="0067407B"/>
    <w:rsid w:val="0068424F"/>
    <w:rsid w:val="006B5013"/>
    <w:rsid w:val="00700379"/>
    <w:rsid w:val="00705BC5"/>
    <w:rsid w:val="007257D5"/>
    <w:rsid w:val="00765A10"/>
    <w:rsid w:val="0077109A"/>
    <w:rsid w:val="00786A63"/>
    <w:rsid w:val="007B040E"/>
    <w:rsid w:val="007E002C"/>
    <w:rsid w:val="007E1CA7"/>
    <w:rsid w:val="007E25B0"/>
    <w:rsid w:val="00803269"/>
    <w:rsid w:val="008052ED"/>
    <w:rsid w:val="00805685"/>
    <w:rsid w:val="00891182"/>
    <w:rsid w:val="008A1C0D"/>
    <w:rsid w:val="008B4F4D"/>
    <w:rsid w:val="008C1371"/>
    <w:rsid w:val="008E0F16"/>
    <w:rsid w:val="008E324F"/>
    <w:rsid w:val="00902312"/>
    <w:rsid w:val="0094773E"/>
    <w:rsid w:val="009568CF"/>
    <w:rsid w:val="0096741C"/>
    <w:rsid w:val="00982475"/>
    <w:rsid w:val="00993108"/>
    <w:rsid w:val="00A36005"/>
    <w:rsid w:val="00AA7C07"/>
    <w:rsid w:val="00B1197A"/>
    <w:rsid w:val="00B5536C"/>
    <w:rsid w:val="00B61886"/>
    <w:rsid w:val="00BB0FB6"/>
    <w:rsid w:val="00BB3630"/>
    <w:rsid w:val="00C014AA"/>
    <w:rsid w:val="00C40C13"/>
    <w:rsid w:val="00CC3ECD"/>
    <w:rsid w:val="00CD27F8"/>
    <w:rsid w:val="00CD4DE2"/>
    <w:rsid w:val="00CF0B61"/>
    <w:rsid w:val="00CF2A62"/>
    <w:rsid w:val="00CF7B43"/>
    <w:rsid w:val="00D20286"/>
    <w:rsid w:val="00D41A24"/>
    <w:rsid w:val="00D76B0F"/>
    <w:rsid w:val="00D819E4"/>
    <w:rsid w:val="00DB63BB"/>
    <w:rsid w:val="00DC7571"/>
    <w:rsid w:val="00E00085"/>
    <w:rsid w:val="00E04343"/>
    <w:rsid w:val="00E40CBC"/>
    <w:rsid w:val="00E57847"/>
    <w:rsid w:val="00E80A70"/>
    <w:rsid w:val="00E80B8E"/>
    <w:rsid w:val="00ED25D5"/>
    <w:rsid w:val="00ED3910"/>
    <w:rsid w:val="00ED687C"/>
    <w:rsid w:val="00F40F9F"/>
    <w:rsid w:val="00F47B5B"/>
    <w:rsid w:val="00F5160D"/>
    <w:rsid w:val="00F53CF5"/>
    <w:rsid w:val="00F612A0"/>
    <w:rsid w:val="00F92049"/>
    <w:rsid w:val="00FA1E3E"/>
    <w:rsid w:val="00FD65C3"/>
    <w:rsid w:val="00FF69BC"/>
    <w:rsid w:val="06182C09"/>
    <w:rsid w:val="0A200B7B"/>
    <w:rsid w:val="10F25B81"/>
    <w:rsid w:val="13AB238F"/>
    <w:rsid w:val="188E5359"/>
    <w:rsid w:val="198C346F"/>
    <w:rsid w:val="1E5063A1"/>
    <w:rsid w:val="23A80728"/>
    <w:rsid w:val="25DF5936"/>
    <w:rsid w:val="278B7E3F"/>
    <w:rsid w:val="28267917"/>
    <w:rsid w:val="28BA26E7"/>
    <w:rsid w:val="30D51ABF"/>
    <w:rsid w:val="330B5ED8"/>
    <w:rsid w:val="335D7515"/>
    <w:rsid w:val="34F768D2"/>
    <w:rsid w:val="36201528"/>
    <w:rsid w:val="37E6581D"/>
    <w:rsid w:val="39BA2D80"/>
    <w:rsid w:val="3B31543D"/>
    <w:rsid w:val="3B6B264B"/>
    <w:rsid w:val="416D4BE4"/>
    <w:rsid w:val="4440141F"/>
    <w:rsid w:val="460E2690"/>
    <w:rsid w:val="46B00DB7"/>
    <w:rsid w:val="55C80E48"/>
    <w:rsid w:val="5C79253A"/>
    <w:rsid w:val="5CB376A5"/>
    <w:rsid w:val="6D486436"/>
    <w:rsid w:val="72201EA6"/>
    <w:rsid w:val="73B86327"/>
    <w:rsid w:val="770A2A28"/>
    <w:rsid w:val="783D5864"/>
    <w:rsid w:val="7BD83B2F"/>
    <w:rsid w:val="7FAF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99" w:semiHidden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方正仿宋_GBK" w:hAnsi="Calibri" w:eastAsia="方正仿宋_GBK" w:cs="Times New Roman"/>
      <w:snapToGrid w:val="0"/>
      <w:sz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tLeast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framePr w:hSpace="181" w:vSpace="181" w:wrap="notBeside" w:vAnchor="text" w:hAnchor="text" w:y="1"/>
      <w:ind w:firstLine="0"/>
      <w:jc w:val="center"/>
      <w:outlineLvl w:val="1"/>
    </w:pPr>
    <w:rPr>
      <w:rFonts w:ascii="Arial" w:hAnsi="Arial" w:eastAsia="楷体"/>
    </w:rPr>
  </w:style>
  <w:style w:type="paragraph" w:styleId="4">
    <w:name w:val="heading 3"/>
    <w:basedOn w:val="1"/>
    <w:next w:val="5"/>
    <w:qFormat/>
    <w:uiPriority w:val="0"/>
    <w:pPr>
      <w:keepNext/>
      <w:keepLines/>
      <w:spacing w:before="260" w:after="260" w:line="416" w:lineRule="atLeast"/>
      <w:outlineLvl w:val="2"/>
    </w:pPr>
    <w:rPr>
      <w:b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next w:val="1"/>
    <w:qFormat/>
    <w:uiPriority w:val="99"/>
    <w:pPr>
      <w:adjustRightInd w:val="0"/>
      <w:snapToGrid/>
      <w:ind w:firstLine="0"/>
      <w:jc w:val="left"/>
    </w:pPr>
    <w:rPr>
      <w:spacing w:val="-25"/>
    </w:rPr>
  </w:style>
  <w:style w:type="paragraph" w:styleId="6">
    <w:name w:val="Balloon Text"/>
    <w:basedOn w:val="1"/>
    <w:link w:val="24"/>
    <w:qFormat/>
    <w:uiPriority w:val="0"/>
    <w:pPr>
      <w:spacing w:line="240" w:lineRule="auto"/>
    </w:pPr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pacing w:line="400" w:lineRule="atLeast"/>
      <w:ind w:firstLine="0"/>
      <w:jc w:val="right"/>
    </w:pPr>
    <w:rPr>
      <w:rFonts w:ascii="Times New Roman"/>
      <w:sz w:val="28"/>
      <w:szCs w:val="21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</w:rPr>
  </w:style>
  <w:style w:type="paragraph" w:styleId="9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szCs w:val="21"/>
    </w:rPr>
  </w:style>
  <w:style w:type="paragraph" w:styleId="10">
    <w:name w:val="Normal (Web)"/>
    <w:basedOn w:val="1"/>
    <w:unhideWhenUsed/>
    <w:qFormat/>
    <w:uiPriority w:val="99"/>
    <w:pPr>
      <w:widowControl/>
      <w:autoSpaceDE/>
      <w:autoSpaceDN/>
      <w:snapToGrid/>
      <w:spacing w:before="100" w:beforeAutospacing="1" w:after="100" w:afterAutospacing="1" w:line="240" w:lineRule="auto"/>
      <w:ind w:firstLine="0"/>
      <w:jc w:val="left"/>
    </w:pPr>
    <w:rPr>
      <w:rFonts w:ascii="宋体" w:hAnsi="宋体" w:eastAsia="宋体" w:cs="宋体"/>
      <w:snapToGrid/>
      <w:sz w:val="24"/>
      <w:szCs w:val="24"/>
    </w:rPr>
  </w:style>
  <w:style w:type="character" w:styleId="13">
    <w:name w:val="Strong"/>
    <w:basedOn w:val="12"/>
    <w:qFormat/>
    <w:uiPriority w:val="22"/>
    <w:rPr>
      <w:b/>
      <w:bCs/>
    </w:rPr>
  </w:style>
  <w:style w:type="character" w:styleId="14">
    <w:name w:val="page number"/>
    <w:basedOn w:val="12"/>
    <w:qFormat/>
    <w:uiPriority w:val="0"/>
  </w:style>
  <w:style w:type="character" w:styleId="15">
    <w:name w:val="Hyperlink"/>
    <w:basedOn w:val="12"/>
    <w:unhideWhenUsed/>
    <w:qFormat/>
    <w:uiPriority w:val="99"/>
    <w:rPr>
      <w:color w:val="0000FF"/>
      <w:u w:val="single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标题1"/>
    <w:basedOn w:val="1"/>
    <w:next w:val="1"/>
    <w:qFormat/>
    <w:uiPriority w:val="0"/>
    <w:pPr>
      <w:tabs>
        <w:tab w:val="left" w:pos="9193"/>
        <w:tab w:val="left" w:pos="9827"/>
      </w:tabs>
      <w:spacing w:line="700" w:lineRule="atLeast"/>
      <w:ind w:firstLine="0"/>
      <w:jc w:val="center"/>
    </w:pPr>
    <w:rPr>
      <w:rFonts w:ascii="方正小标宋_GBK" w:eastAsia="方正小标宋_GBK"/>
      <w:sz w:val="44"/>
    </w:rPr>
  </w:style>
  <w:style w:type="paragraph" w:customStyle="1" w:styleId="18">
    <w:name w:val="标题2"/>
    <w:basedOn w:val="1"/>
    <w:next w:val="1"/>
    <w:qFormat/>
    <w:uiPriority w:val="0"/>
    <w:pPr>
      <w:ind w:firstLine="0"/>
      <w:jc w:val="center"/>
    </w:pPr>
    <w:rPr>
      <w:rFonts w:ascii="方正楷体_GBK" w:hAnsi="Book Antiqua" w:eastAsia="方正楷体_GBK"/>
    </w:rPr>
  </w:style>
  <w:style w:type="paragraph" w:customStyle="1" w:styleId="19">
    <w:name w:val="文头"/>
    <w:basedOn w:val="20"/>
    <w:qFormat/>
    <w:uiPriority w:val="0"/>
    <w:pPr>
      <w:spacing w:before="320" w:after="0"/>
      <w:ind w:left="227" w:right="227"/>
      <w:jc w:val="distribute"/>
    </w:pPr>
    <w:rPr>
      <w:rFonts w:ascii="汉鼎简大宋" w:eastAsia="汉鼎简大宋"/>
      <w:color w:val="FF0000"/>
      <w:spacing w:val="36"/>
      <w:w w:val="82"/>
      <w:sz w:val="90"/>
    </w:rPr>
  </w:style>
  <w:style w:type="paragraph" w:customStyle="1" w:styleId="20">
    <w:name w:val="红线"/>
    <w:basedOn w:val="1"/>
    <w:qFormat/>
    <w:uiPriority w:val="0"/>
    <w:pPr>
      <w:adjustRightInd w:val="0"/>
      <w:snapToGrid/>
      <w:spacing w:after="170" w:line="227" w:lineRule="atLeast"/>
      <w:ind w:firstLine="0"/>
      <w:jc w:val="center"/>
    </w:pPr>
    <w:rPr>
      <w:sz w:val="10"/>
    </w:rPr>
  </w:style>
  <w:style w:type="paragraph" w:customStyle="1" w:styleId="21">
    <w:name w:val="标题3"/>
    <w:basedOn w:val="1"/>
    <w:next w:val="1"/>
    <w:qFormat/>
    <w:uiPriority w:val="0"/>
    <w:rPr>
      <w:rFonts w:ascii="方正黑体_GBK" w:eastAsia="方正黑体_GBK"/>
    </w:rPr>
  </w:style>
  <w:style w:type="paragraph" w:customStyle="1" w:styleId="22">
    <w:name w:val="主题词"/>
    <w:basedOn w:val="1"/>
    <w:qFormat/>
    <w:uiPriority w:val="0"/>
    <w:pPr>
      <w:adjustRightInd w:val="0"/>
      <w:snapToGrid/>
      <w:ind w:firstLine="0"/>
      <w:jc w:val="left"/>
    </w:pPr>
    <w:rPr>
      <w:rFonts w:ascii="方正小标宋_GBK" w:eastAsia="方正黑体_GBK"/>
    </w:rPr>
  </w:style>
  <w:style w:type="paragraph" w:customStyle="1" w:styleId="23">
    <w:name w:val="抄送栏"/>
    <w:basedOn w:val="1"/>
    <w:qFormat/>
    <w:uiPriority w:val="0"/>
    <w:pPr>
      <w:adjustRightInd w:val="0"/>
      <w:snapToGrid/>
      <w:ind w:left="953" w:hanging="953"/>
    </w:pPr>
  </w:style>
  <w:style w:type="character" w:customStyle="1" w:styleId="24">
    <w:name w:val="批注框文本 字符"/>
    <w:basedOn w:val="12"/>
    <w:link w:val="6"/>
    <w:qFormat/>
    <w:uiPriority w:val="0"/>
    <w:rPr>
      <w:rFonts w:ascii="方正仿宋_GBK" w:eastAsia="方正仿宋_GBK"/>
      <w:snapToGrid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2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wmf"/><Relationship Id="rId1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2024&#24180;&#25991;&#26723;\&#27169;&#29256;\&#21335;&#36890;&#24066;&#21830;&#21153;&#23616;&#32418;&#22836;&#27169;&#2925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南通市商务局红头模版</Template>
  <Company>Microsoft</Company>
  <Pages>4</Pages>
  <Words>1923</Words>
  <Characters>1990</Characters>
  <Lines>15</Lines>
  <Paragraphs>4</Paragraphs>
  <TotalTime>0</TotalTime>
  <ScaleCrop>false</ScaleCrop>
  <LinksUpToDate>false</LinksUpToDate>
  <CharactersWithSpaces>2044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2024-05-30T01:00:00Z</dcterms:created>
  <dc:creator>翻不完的日历</dc:creator>
  <cp:lastModifiedBy>翻不完的日历</cp:lastModifiedBy>
  <dcterms:modified xsi:type="dcterms:W3CDTF">2024-09-25T06:57:27Z</dcterms:modified>
  <dc:title>苏政办函模板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4D3C970B90A54F6C814A05BB08BB7388_13</vt:lpwstr>
  </property>
</Properties>
</file>