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CD3F2">
      <w:pPr>
        <w:pStyle w:val="15"/>
        <w:spacing w:before="160" w:after="140" w:line="900" w:lineRule="exact"/>
        <w:rPr>
          <w:rFonts w:hint="eastAsia"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583AEE17">
      <w:pPr>
        <w:pStyle w:val="16"/>
        <w:snapToGrid w:val="0"/>
        <w:spacing w:after="120" w:line="120" w:lineRule="atLeast"/>
        <w:ind w:left="-57" w:right="-57"/>
        <w:rPr>
          <w:rFonts w:ascii="宋体"/>
        </w:rPr>
      </w:pPr>
      <w:bookmarkStart w:id="0" w:name="_988455212"/>
      <w:bookmarkEnd w:id="0"/>
      <w:bookmarkStart w:id="1" w:name="_988455626"/>
      <w:bookmarkEnd w:id="1"/>
      <w:bookmarkStart w:id="2" w:name="_1081335927"/>
      <w:bookmarkEnd w:id="2"/>
      <w:bookmarkStart w:id="3" w:name="_1081336902"/>
      <w:bookmarkEnd w:id="3"/>
      <w:bookmarkStart w:id="4" w:name="_1081336766"/>
      <w:bookmarkEnd w:id="4"/>
      <w:bookmarkStart w:id="5" w:name="_1081336878"/>
      <w:bookmarkEnd w:id="5"/>
      <w:bookmarkStart w:id="6" w:name="_988455526"/>
      <w:bookmarkEnd w:id="6"/>
      <w:bookmarkStart w:id="7" w:name="_1081336936"/>
      <w:bookmarkEnd w:id="7"/>
      <w:bookmarkStart w:id="8" w:name="_1081336852"/>
      <w:bookmarkEnd w:id="8"/>
      <w:bookmarkStart w:id="9" w:name="_988455157"/>
      <w:bookmarkEnd w:id="9"/>
      <w:bookmarkStart w:id="10" w:name="_988455233"/>
      <w:bookmarkEnd w:id="10"/>
      <w:bookmarkStart w:id="11" w:name="_988455599"/>
      <w:bookmarkEnd w:id="11"/>
      <w:bookmarkStart w:id="12" w:name="_988455673"/>
      <w:bookmarkEnd w:id="12"/>
      <w:bookmarkStart w:id="13" w:name="_1081336172"/>
      <w:bookmarkEnd w:id="13"/>
      <w:bookmarkStart w:id="14" w:name="_988456248"/>
      <w:bookmarkEnd w:id="14"/>
      <w:bookmarkStart w:id="15" w:name="_988455575"/>
      <w:bookmarkEnd w:id="15"/>
      <w:bookmarkStart w:id="16" w:name="_988455645"/>
      <w:bookmarkEnd w:id="16"/>
      <w:bookmarkStart w:id="17" w:name="_1081336197"/>
      <w:bookmarkEnd w:id="17"/>
      <w:bookmarkStart w:id="18" w:name="_1081336779"/>
      <w:bookmarkEnd w:id="18"/>
      <w:r>
        <w:rPr>
          <w:rFonts w:ascii="宋体" w:hAnsi="汉鼎简仿宋"/>
        </w:rPr>
        <w:object>
          <v:shape id="_x0000_i1026" o:spt="75" type="#_x0000_t75" style="height:6pt;width:445.15pt;" o:ole="t" fillcolor="#6D6D6D" filled="f" stroked="f" coordsize="21600,21600">
            <v:path/>
            <v:fill on="f" alignshape="1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 w14:paraId="240C3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0"/>
        <w:jc w:val="both"/>
        <w:textAlignment w:val="auto"/>
        <w:rPr>
          <w:rFonts w:hint="eastAsia"/>
          <w:b/>
          <w:sz w:val="44"/>
          <w:szCs w:val="44"/>
          <w:lang w:eastAsia="zh-CN"/>
        </w:rPr>
      </w:pPr>
    </w:p>
    <w:p w14:paraId="73767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316" w:firstLineChars="100"/>
        <w:jc w:val="both"/>
        <w:textAlignment w:val="auto"/>
        <w:rPr>
          <w:rFonts w:hint="eastAsia" w:ascii="方正楷体_GBK" w:hAnsi="方正楷体_GBK" w:eastAsia="方正楷体_GBK" w:cs="方正楷体_GBK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通商复字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﹝2024﹞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>67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号                 签发人：</w:t>
      </w:r>
      <w:r>
        <w:rPr>
          <w:rFonts w:hint="eastAsia" w:ascii="方正楷体_GBK" w:hAnsi="方正楷体_GBK" w:eastAsia="方正楷体_GBK" w:cs="方正楷体_GBK"/>
          <w:kern w:val="2"/>
          <w:sz w:val="32"/>
          <w:szCs w:val="32"/>
          <w:lang w:val="en-US" w:eastAsia="zh-CN" w:bidi="ar-SA"/>
        </w:rPr>
        <w:t>高洪军</w:t>
      </w:r>
    </w:p>
    <w:p w14:paraId="5F9CF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方正小标宋_GBK" w:hAnsi="方正小标宋_GBK" w:eastAsia="方正小标宋_GBK" w:cs="方正小标宋_GBK"/>
          <w:snapToGrid/>
        </w:rPr>
      </w:pPr>
    </w:p>
    <w:p w14:paraId="75DFA59A">
      <w:pPr>
        <w:keepNext w:val="0"/>
        <w:keepLines w:val="0"/>
        <w:pageBreakBefore w:val="0"/>
        <w:widowControl w:val="0"/>
        <w:tabs>
          <w:tab w:val="left" w:pos="9193"/>
          <w:tab w:val="left" w:pos="9827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napToGrid/>
          <w:sz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napToGrid/>
          <w:sz w:val="44"/>
        </w:rPr>
        <w:t>对市政协十三届</w:t>
      </w:r>
      <w:r>
        <w:rPr>
          <w:rFonts w:hint="eastAsia" w:ascii="方正小标宋_GBK" w:hAnsi="方正小标宋_GBK" w:eastAsia="方正小标宋_GBK" w:cs="方正小标宋_GBK"/>
          <w:snapToGrid/>
          <w:sz w:val="44"/>
          <w:lang w:eastAsia="zh-CN"/>
        </w:rPr>
        <w:t>三</w:t>
      </w:r>
      <w:r>
        <w:rPr>
          <w:rFonts w:hint="eastAsia" w:ascii="方正小标宋_GBK" w:hAnsi="方正小标宋_GBK" w:eastAsia="方正小标宋_GBK" w:cs="方正小标宋_GBK"/>
          <w:snapToGrid/>
          <w:sz w:val="44"/>
        </w:rPr>
        <w:t>次会议第</w:t>
      </w:r>
      <w:r>
        <w:rPr>
          <w:rFonts w:hint="eastAsia" w:ascii="方正小标宋_GBK" w:hAnsi="方正小标宋_GBK" w:eastAsia="方正小标宋_GBK" w:cs="方正小标宋_GBK"/>
          <w:snapToGrid/>
          <w:sz w:val="44"/>
          <w:lang w:val="en-US" w:eastAsia="zh-CN"/>
        </w:rPr>
        <w:t>0420</w:t>
      </w:r>
      <w:r>
        <w:rPr>
          <w:rFonts w:hint="eastAsia" w:ascii="方正小标宋_GBK" w:hAnsi="方正小标宋_GBK" w:eastAsia="方正小标宋_GBK" w:cs="方正小标宋_GBK"/>
          <w:snapToGrid/>
          <w:sz w:val="44"/>
        </w:rPr>
        <w:t>号提案的答复</w:t>
      </w:r>
    </w:p>
    <w:p w14:paraId="0EBBA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cs="Times New Roman"/>
          <w:snapToGrid/>
        </w:rPr>
      </w:pPr>
    </w:p>
    <w:p w14:paraId="7F7E8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陆苏杰委员：</w:t>
      </w:r>
    </w:p>
    <w:p w14:paraId="2178A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您提出的《关于关注新消费业态，营造良好发展土壤的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建议》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收悉。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近年来，剧本杀、密室逃脱等剧本娱乐活动，由于其沉浸式、交互式和强社交属性，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激发了青年群体的新消费潜力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因此，促进新型消费业态规范管理、健康发展，是当前我们工作的重点内容。</w:t>
      </w:r>
      <w:r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  <w:t>我们对您的建议高度重视，及时进行认真学习和研究，形成如下答复意见：</w:t>
      </w:r>
    </w:p>
    <w:p w14:paraId="1EF96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一、加强各级各类监管</w:t>
      </w:r>
    </w:p>
    <w:p w14:paraId="3522A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目前，南通正常经营的剧本娱乐场所共64家，已全部完成备案。公安、住建、应急管理、市场监督、消防等部门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联合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印发《关于加强全市剧本娱乐经营场所管理的通知》，建立健全信息共享机制、协作监管制度和联合执法体系，打破部门沟通障碍，争取多方配合支持，优化工作流程，提升监管效率和能力。针对少数场所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不知备、不会备、不愿备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等问题，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市文广旅局多次牵头召开部门协调会和行业座谈会，加强工作协调和业务指导。通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过告知相关政策、上门服务指导、张贴备案告知单等方式，主动宣传剧本娱乐管理政策，督促场所按要求完成场所和脚本备案，全范围纳入监管视野。</w:t>
      </w:r>
    </w:p>
    <w:p w14:paraId="2C5F5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二、加大体育消费供给</w:t>
      </w:r>
    </w:p>
    <w:p w14:paraId="6FEDB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我市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持续推动</w:t>
      </w:r>
      <w:r>
        <w:rPr>
          <w:rFonts w:hint="eastAsia" w:asci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体育+</w:t>
      </w:r>
      <w:r>
        <w:rPr>
          <w:rFonts w:hint="eastAsia" w:asci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融合发展，加大</w:t>
      </w:r>
      <w:r>
        <w:rPr>
          <w:rFonts w:hint="eastAsia" w:asci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体旅融合</w:t>
      </w:r>
      <w:r>
        <w:rPr>
          <w:rFonts w:hint="eastAsia" w:asci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，为新消费打造新场景。去年，全市共建设笼式足球场、篮球场和门球场等健身球场20片，新建和改扩建体育公园6个，建设如东小洋口度假区风景步行道、崇川区通吕运河两岸健身步道等共55公里，人均体育场地面积4.23平方米。鼓励体育旅游度假区、体旅融合示范基地、体育综合体等运营单位扩大宣传，实施体育旅游精品示范工程，打造一批有影响力的体育旅游精品线路，进一步提升城市体育旅游层级。</w:t>
      </w:r>
    </w:p>
    <w:p w14:paraId="04C0A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三、强化安全隐患治理</w:t>
      </w:r>
    </w:p>
    <w:p w14:paraId="70D42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有关部门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定期组织所有场所开展隐患排查和消防安全专项检查，落实三级复查复核全覆盖，督促场所切实履行安全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>生产主体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责任，坚决落实隐患闭环整改。去年，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市文广旅局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联合消防等部门组成3个督导组对全市剧本娱乐场所开展专项督查行动，查出各类问题隐患40个，形成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一店一清单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。汇总问题隐患反馈清单、第三方检测评估报告抄送住建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消防等部门，共同督促场所按照标准要求限时完成整改，密室逃脱全部落实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一键开灯、一键解锁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的要求，确保安全运营。</w:t>
      </w:r>
    </w:p>
    <w:p w14:paraId="6601C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四、落实未成年人保护工作</w:t>
      </w:r>
    </w:p>
    <w:p w14:paraId="22622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一方面，严格内容管理，坚持正面引导和强化监管并重。要求各地在文旅部《剧本娱乐经营场所管理规定》出台前，对于剧本内容和适龄提醒参考中国娱乐协会发布的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文化娱乐活动内容自审规范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和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剧本娱乐活动适龄提醒指引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逐步规范剧本自审制度，加强剧本内容的督查力度，对于不符合要求的剧本及时下架。另一方面，采取适龄提示，加强对未成年人保护。集中制作剧本娱乐场所未成年人限入标志，发放给场所内规范张贴。结合日常检查、专项检查重点关注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适龄提示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是否在显著位置予以张贴、是否存在允许未成年人进入等情况，一经发现问题，严肃组织整改。</w:t>
      </w:r>
    </w:p>
    <w:p w14:paraId="3B821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五、搭建青年社会交流平台</w:t>
      </w:r>
    </w:p>
    <w:p w14:paraId="79B0E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依托全市14家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筑梦空间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阵地，面向新兴青年群体常态化开展交流培训、行业论坛、青年联谊等青年喜闻乐见的活动。统筹开展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>‘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团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>’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递温暖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>‘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新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>’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心相连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暖新行动，组织各级团委结合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两员两司机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群体的实际需求和困难，开展暖冬慰问，发放防寒物资，将温暖传递到青年身边。加强团组织与新兴青年的覆盖联系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，去年，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团市委依托各级团组织开展了10余场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青社学堂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活动，扩大新兴青年的联络覆盖面。承办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扬帆江海砺青春 奋楫笃行向未来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2023年江苏省新兴青年群体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青社学堂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（南通专场）活动，邀请全省各地的新兴青年青年代表50余人参加，通过理论宣讲、业态沙龙、经验分享等形式进一步加强对新兴青年群体的政治引领和联系服务。</w:t>
      </w:r>
    </w:p>
    <w:p w14:paraId="109D8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下一步，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我们将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认真研究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szCs w:val="32"/>
        </w:rPr>
        <w:t>以高度负责的态度、持之以恒的举措，</w:t>
      </w:r>
      <w:r>
        <w:rPr>
          <w:rFonts w:hint="default" w:ascii="Times New Roman" w:hAnsi="Times New Roman" w:cs="Times New Roman"/>
          <w:szCs w:val="32"/>
          <w:lang w:eastAsia="zh-CN"/>
        </w:rPr>
        <w:t>会同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市市监局、市文广旅局等部门，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>认真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落实好各项监管措施，确保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面对青年群体新消费的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剧本娱乐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等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经营场所健康、安全、有序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发展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方正仿宋_GBK" w:cs="Times New Roman"/>
          <w:b/>
          <w:bCs/>
          <w:kern w:val="2"/>
          <w:sz w:val="32"/>
          <w:szCs w:val="32"/>
          <w:lang w:val="en-US" w:eastAsia="zh-CN" w:bidi="ar-SA"/>
        </w:rPr>
        <w:t>一是进一步加强剧本内容管理。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加强剧本内容和剧本版权的管理，规范剧本自审制度，加强剧本内容的督查力度，不符合要求的剧本及时下架，严厉打击剧本版权侵犯、备案剧本与实用剧本不一致等行为。</w:t>
      </w:r>
      <w:r>
        <w:rPr>
          <w:rFonts w:hint="default" w:ascii="Times New Roman" w:hAnsi="Times New Roman" w:cs="Times New Roman"/>
          <w:b/>
          <w:bCs/>
          <w:kern w:val="2"/>
          <w:sz w:val="32"/>
          <w:szCs w:val="32"/>
          <w:lang w:val="en-US" w:eastAsia="zh-CN" w:bidi="ar-SA"/>
        </w:rPr>
        <w:t>二是进一步鼓励优秀剧本娱乐作品创作。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充分发挥剧本娱乐作为新兴文化娱乐行业在弘扬主旋律、引领新风尚和服务大众、推动发展方面的作用，以健康、优质的剧本娱乐产品丰富文旅产品供给，引导广大从业者创造出更多人民喜闻乐见的文化作品。</w:t>
      </w:r>
      <w:r>
        <w:rPr>
          <w:rFonts w:hint="default" w:ascii="Times New Roman" w:hAnsi="Times New Roman" w:cs="Times New Roman"/>
          <w:b/>
          <w:bCs/>
          <w:kern w:val="2"/>
          <w:sz w:val="32"/>
          <w:szCs w:val="32"/>
          <w:lang w:val="en-US" w:eastAsia="zh-CN" w:bidi="ar-SA"/>
        </w:rPr>
        <w:t>三</w:t>
      </w:r>
      <w:r>
        <w:rPr>
          <w:rFonts w:hint="default" w:ascii="Times New Roman" w:hAnsi="Times New Roman" w:eastAsia="方正仿宋_GBK" w:cs="Times New Roman"/>
          <w:b/>
          <w:bCs/>
          <w:kern w:val="2"/>
          <w:sz w:val="32"/>
          <w:szCs w:val="32"/>
          <w:lang w:val="en-US" w:eastAsia="zh-CN" w:bidi="ar-SA"/>
        </w:rPr>
        <w:t>是进一步加强普法宣传工作。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结合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>部门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日常工作，开展未成年人保护、安全生产、剧本内容自审等相关行业政策和法律法规宣传，督促经营者细化责任，依法经营、规范经营、诚信经营，营造合法合规经营和加强未成年人保护的浓厚氛围，切实提升经营者规范经营意识。</w:t>
      </w:r>
      <w:r>
        <w:rPr>
          <w:rFonts w:hint="default" w:ascii="Times New Roman" w:hAnsi="Times New Roman" w:cs="Times New Roman"/>
          <w:b/>
          <w:bCs/>
          <w:kern w:val="2"/>
          <w:sz w:val="32"/>
          <w:szCs w:val="32"/>
          <w:lang w:val="en-US" w:eastAsia="zh-CN" w:bidi="ar-SA"/>
        </w:rPr>
        <w:t>四是持续加快场所建设。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围绕群众需求，持续加大建设全民健身场地设施、体育公园新建和改扩建力度，在灯光球场建设、国球进社区进公园、沿江沿海步道建设等方面下功夫，稳步提升人均体育场地面积。</w:t>
      </w:r>
    </w:p>
    <w:p w14:paraId="484D4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cs="Times New Roman"/>
          <w:szCs w:val="32"/>
          <w:shd w:val="clear" w:color="auto" w:fill="FFFFFF"/>
        </w:rPr>
      </w:pPr>
      <w:r>
        <w:rPr>
          <w:rFonts w:hint="eastAsia" w:ascii="Times New Roman" w:hAnsi="Times New Roman" w:cs="Times New Roman"/>
          <w:szCs w:val="32"/>
          <w:shd w:val="clear" w:color="auto" w:fill="FFFFFF"/>
          <w:lang w:val="en-US" w:eastAsia="zh-CN"/>
        </w:rPr>
        <w:t>感谢您对我市商务事业的关心和支持。</w:t>
      </w:r>
    </w:p>
    <w:p w14:paraId="4C9AA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/>
        <w:jc w:val="both"/>
        <w:textAlignment w:val="auto"/>
        <w:rPr>
          <w:rFonts w:hint="default" w:ascii="Times New Roman" w:hAnsi="Times New Roman" w:cs="Times New Roman"/>
          <w:snapToGrid/>
          <w:szCs w:val="32"/>
          <w:lang w:val="en-US" w:eastAsia="zh-CN"/>
        </w:rPr>
      </w:pPr>
    </w:p>
    <w:p w14:paraId="185CF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/>
        <w:jc w:val="both"/>
        <w:textAlignment w:val="auto"/>
        <w:rPr>
          <w:rFonts w:hint="default" w:ascii="Times New Roman" w:hAnsi="Times New Roman" w:cs="Times New Roman"/>
          <w:snapToGrid/>
          <w:szCs w:val="32"/>
          <w:lang w:eastAsia="zh-CN"/>
        </w:rPr>
      </w:pPr>
      <w:r>
        <w:rPr>
          <w:rFonts w:hint="eastAsia" w:ascii="Times New Roman" w:hAnsi="Times New Roman" w:cs="Times New Roman"/>
          <w:snapToGrid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cs="Times New Roman"/>
          <w:snapToGrid/>
          <w:szCs w:val="32"/>
        </w:rPr>
        <w:t>南通市</w:t>
      </w:r>
      <w:r>
        <w:rPr>
          <w:rFonts w:hint="default" w:ascii="Times New Roman" w:hAnsi="Times New Roman" w:cs="Times New Roman"/>
          <w:snapToGrid/>
          <w:szCs w:val="32"/>
          <w:lang w:eastAsia="zh-CN"/>
        </w:rPr>
        <w:t>商务局</w:t>
      </w:r>
    </w:p>
    <w:p w14:paraId="7D302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5518" w:firstLineChars="1746"/>
        <w:jc w:val="both"/>
        <w:textAlignment w:val="auto"/>
        <w:rPr>
          <w:rFonts w:hint="default" w:ascii="Times New Roman" w:hAnsi="Times New Roman" w:eastAsia="仿宋_GB2312" w:cs="Times New Roman"/>
          <w:snapToGrid/>
          <w:szCs w:val="32"/>
        </w:rPr>
      </w:pPr>
      <w:r>
        <w:rPr>
          <w:rFonts w:hint="default" w:ascii="Times New Roman" w:hAnsi="Times New Roman" w:eastAsia="仿宋_GB2312" w:cs="Times New Roman"/>
          <w:snapToGrid/>
          <w:szCs w:val="32"/>
        </w:rPr>
        <w:t>2024年</w:t>
      </w:r>
      <w:r>
        <w:rPr>
          <w:rFonts w:hint="default" w:ascii="Times New Roman" w:hAnsi="Times New Roman" w:eastAsia="仿宋_GB2312" w:cs="Times New Roman"/>
          <w:snapToGrid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napToGrid/>
          <w:szCs w:val="32"/>
        </w:rPr>
        <w:t>月</w:t>
      </w:r>
      <w:r>
        <w:rPr>
          <w:rFonts w:hint="default" w:ascii="Times New Roman" w:hAnsi="Times New Roman" w:eastAsia="仿宋_GB2312" w:cs="Times New Roman"/>
          <w:snapToGrid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napToGrid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napToGrid/>
          <w:szCs w:val="32"/>
        </w:rPr>
        <w:t>日</w:t>
      </w:r>
    </w:p>
    <w:p w14:paraId="7D95B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zCs w:val="32"/>
          <w:lang w:eastAsia="zh-CN"/>
        </w:rPr>
      </w:pPr>
      <w:r>
        <w:rPr>
          <w:rFonts w:hint="default" w:ascii="Times New Roman" w:hAnsi="Times New Roman" w:cs="Times New Roman"/>
          <w:szCs w:val="32"/>
        </w:rPr>
        <w:t>联  系  人：</w:t>
      </w:r>
      <w:r>
        <w:rPr>
          <w:rFonts w:hint="default" w:ascii="Times New Roman" w:hAnsi="Times New Roman" w:cs="Times New Roman"/>
          <w:szCs w:val="32"/>
          <w:lang w:eastAsia="zh-CN"/>
        </w:rPr>
        <w:t>羌</w:t>
      </w:r>
      <w:r>
        <w:rPr>
          <w:rFonts w:hint="eastAsia" w:ascii="Times New Roman" w:hAnsi="Times New Roman" w:cs="Times New Roman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32"/>
          <w:lang w:eastAsia="zh-CN"/>
        </w:rPr>
        <w:t>笑</w:t>
      </w:r>
      <w:bookmarkStart w:id="20" w:name="_GoBack"/>
      <w:bookmarkEnd w:id="20"/>
    </w:p>
    <w:p w14:paraId="5202B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zCs w:val="32"/>
          <w:lang w:val="en-US" w:eastAsia="zh-CN"/>
        </w:rPr>
      </w:pPr>
      <w:r>
        <w:rPr>
          <w:rFonts w:hint="default" w:ascii="Times New Roman" w:hAnsi="Times New Roman" w:cs="Times New Roman"/>
          <w:spacing w:val="53"/>
          <w:kern w:val="0"/>
          <w:szCs w:val="32"/>
          <w:fitText w:val="1600" w:id="1457486148"/>
        </w:rPr>
        <w:t>联系电</w:t>
      </w:r>
      <w:r>
        <w:rPr>
          <w:rFonts w:hint="default" w:ascii="Times New Roman" w:hAnsi="Times New Roman" w:cs="Times New Roman"/>
          <w:spacing w:val="1"/>
          <w:kern w:val="0"/>
          <w:szCs w:val="32"/>
          <w:fitText w:val="1600" w:id="1457486148"/>
        </w:rPr>
        <w:t>话</w:t>
      </w:r>
      <w:r>
        <w:rPr>
          <w:rFonts w:hint="default" w:ascii="Times New Roman" w:hAnsi="Times New Roman" w:cs="Times New Roman"/>
          <w:szCs w:val="32"/>
        </w:rPr>
        <w:t>：</w:t>
      </w:r>
      <w:r>
        <w:rPr>
          <w:rFonts w:hint="default" w:ascii="Times New Roman" w:hAnsi="Times New Roman" w:cs="Times New Roman"/>
          <w:szCs w:val="32"/>
          <w:lang w:val="en-US" w:eastAsia="zh-CN"/>
        </w:rPr>
        <w:t>85098729，18012226910</w:t>
      </w:r>
    </w:p>
    <w:p w14:paraId="3FB5B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/>
          <w:b/>
          <w:sz w:val="44"/>
          <w:szCs w:val="44"/>
          <w:lang w:eastAsia="zh-CN"/>
        </w:rPr>
      </w:pPr>
      <w:r>
        <w:rPr>
          <w:rFonts w:hint="default" w:ascii="Times New Roman" w:hAnsi="Times New Roman" w:cs="Times New Roman"/>
          <w:spacing w:val="480"/>
          <w:kern w:val="0"/>
          <w:szCs w:val="32"/>
          <w:fitText w:val="1600" w:id="780825148"/>
        </w:rPr>
        <w:t>抄</w:t>
      </w:r>
      <w:r>
        <w:rPr>
          <w:rFonts w:hint="default" w:ascii="Times New Roman" w:hAnsi="Times New Roman" w:cs="Times New Roman"/>
          <w:spacing w:val="0"/>
          <w:kern w:val="0"/>
          <w:szCs w:val="32"/>
          <w:fitText w:val="1600" w:id="780825148"/>
        </w:rPr>
        <w:t>送</w:t>
      </w:r>
      <w:r>
        <w:rPr>
          <w:rFonts w:hint="default" w:ascii="Times New Roman" w:hAnsi="Times New Roman" w:cs="Times New Roman"/>
          <w:szCs w:val="32"/>
        </w:rPr>
        <w:t>：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市政协提案委</w:t>
      </w:r>
      <w:r>
        <w:rPr>
          <w:rFonts w:hint="eastAsia" w:asci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、市政府办公室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4C62F">
    <w:pPr>
      <w:pStyle w:val="6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3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5E681">
    <w:pPr>
      <w:pStyle w:val="6"/>
      <w:ind w:right="560"/>
      <w:jc w:val="both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2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40712">
    <w:pPr>
      <w:pStyle w:val="16"/>
      <w:snapToGrid w:val="0"/>
      <w:spacing w:after="120" w:line="120" w:lineRule="atLeast"/>
      <w:ind w:left="-57" w:right="-57"/>
      <w:rPr>
        <w:rFonts w:ascii="宋体"/>
      </w:rPr>
    </w:pPr>
    <w:bookmarkStart w:id="19" w:name="_1081337396"/>
    <w:bookmarkEnd w:id="19"/>
    <w:r>
      <w:rPr>
        <w:rFonts w:ascii="宋体" w:hAnsi="汉鼎简仿宋"/>
      </w:rPr>
      <w:object>
        <v:shape id="_x0000_i1025" o:spt="75" type="#_x0000_t75" style="height:6pt;width:445.15pt;" o:ole="t" fillcolor="#6D6D6D" filled="f" stroked="f" coordsize="21600,21600">
          <v:path/>
          <v:fill on="f" alignshape="1" focussize="0,0"/>
          <v:stroke on="f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27E06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z w:val="32"/>
        <w:szCs w:val="32"/>
      </w:rPr>
    </w:pPr>
    <w:r>
      <w:rPr>
        <w:rFonts w:hint="eastAsia" w:ascii="方正黑体_GBK" w:hAnsi="方正黑体_GBK" w:eastAsia="方正黑体_GBK" w:cs="方正黑体_GBK"/>
        <w:sz w:val="32"/>
        <w:szCs w:val="32"/>
      </w:rPr>
      <w:t>A</w:t>
    </w:r>
  </w:p>
  <w:p w14:paraId="1C359AF5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z w:val="32"/>
        <w:szCs w:val="32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5YmI3ODY2MDc0ZDkyZGJhYWU3NzM0ZGIzNjRmYzMifQ=="/>
  </w:docVars>
  <w:rsids>
    <w:rsidRoot w:val="501C6479"/>
    <w:rsid w:val="000A08E7"/>
    <w:rsid w:val="0011031D"/>
    <w:rsid w:val="00224CEE"/>
    <w:rsid w:val="002E5B14"/>
    <w:rsid w:val="00483704"/>
    <w:rsid w:val="0064023B"/>
    <w:rsid w:val="0068424F"/>
    <w:rsid w:val="00765A10"/>
    <w:rsid w:val="00786A63"/>
    <w:rsid w:val="007E25B0"/>
    <w:rsid w:val="009568CF"/>
    <w:rsid w:val="00982475"/>
    <w:rsid w:val="00993108"/>
    <w:rsid w:val="00A36005"/>
    <w:rsid w:val="00B61886"/>
    <w:rsid w:val="00BB3630"/>
    <w:rsid w:val="00CC3ECD"/>
    <w:rsid w:val="00D41A24"/>
    <w:rsid w:val="00E00085"/>
    <w:rsid w:val="00E40CBC"/>
    <w:rsid w:val="00ED25D5"/>
    <w:rsid w:val="00ED687C"/>
    <w:rsid w:val="00F47B5B"/>
    <w:rsid w:val="09FB1114"/>
    <w:rsid w:val="1E5063A1"/>
    <w:rsid w:val="28267917"/>
    <w:rsid w:val="2B70107C"/>
    <w:rsid w:val="330B5ED8"/>
    <w:rsid w:val="36201528"/>
    <w:rsid w:val="37E6581D"/>
    <w:rsid w:val="39BA2D80"/>
    <w:rsid w:val="3B6B264B"/>
    <w:rsid w:val="43A559D8"/>
    <w:rsid w:val="4440141F"/>
    <w:rsid w:val="4A5C4A8C"/>
    <w:rsid w:val="501C6479"/>
    <w:rsid w:val="507C775A"/>
    <w:rsid w:val="5DA16A52"/>
    <w:rsid w:val="72201EA6"/>
    <w:rsid w:val="72341396"/>
    <w:rsid w:val="77020109"/>
    <w:rsid w:val="783D58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4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5">
    <w:name w:val="文头"/>
    <w:basedOn w:val="16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16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  <w:style w:type="paragraph" w:customStyle="1" w:styleId="17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18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19">
    <w:name w:val="抄送栏"/>
    <w:basedOn w:val="1"/>
    <w:qFormat/>
    <w:uiPriority w:val="0"/>
    <w:pPr>
      <w:adjustRightInd w:val="0"/>
      <w:snapToGrid/>
      <w:ind w:left="953" w:hanging="953"/>
    </w:pPr>
    <w:rPr>
      <w:spacing w:val="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南通市商务局红头模版.dot</Template>
  <Pages>4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2024-09-23T06:28:00Z</dcterms:created>
  <dc:creator>翻不完的日历</dc:creator>
  <cp:lastModifiedBy>翻不完的日历</cp:lastModifiedBy>
  <dcterms:modified xsi:type="dcterms:W3CDTF">2024-09-23T06:31:10Z</dcterms:modified>
  <dc:title>苏政办函模板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2111B644F322431CB263B721D18D8CC9_11</vt:lpwstr>
  </property>
</Properties>
</file>