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834D0D">
      <w:pPr>
        <w:pStyle w:val="15"/>
        <w:spacing w:before="160" w:after="140" w:line="900" w:lineRule="exact"/>
        <w:rPr>
          <w:rFonts w:hint="eastAsia" w:ascii="方正小标宋_GBK" w:eastAsia="方正小标宋_GBK"/>
          <w:spacing w:val="0"/>
          <w:sz w:val="100"/>
          <w:szCs w:val="100"/>
        </w:rPr>
      </w:pPr>
      <w:r>
        <w:rPr>
          <w:rFonts w:hint="eastAsia" w:ascii="方正小标宋_GBK" w:eastAsia="方正小标宋_GBK"/>
          <w:spacing w:val="0"/>
          <w:sz w:val="100"/>
          <w:szCs w:val="100"/>
        </w:rPr>
        <w:t>南通市商务局</w:t>
      </w:r>
    </w:p>
    <w:p w14:paraId="0BD02E1E">
      <w:pPr>
        <w:pStyle w:val="16"/>
        <w:snapToGrid w:val="0"/>
        <w:spacing w:after="120" w:line="120" w:lineRule="atLeast"/>
        <w:ind w:left="-57" w:right="-57"/>
        <w:rPr>
          <w:rFonts w:ascii="宋体"/>
        </w:rPr>
      </w:pPr>
      <w:bookmarkStart w:id="0" w:name="_988455626"/>
      <w:bookmarkEnd w:id="0"/>
      <w:bookmarkStart w:id="1" w:name="_988455212"/>
      <w:bookmarkEnd w:id="1"/>
      <w:bookmarkStart w:id="2" w:name="_1081335927"/>
      <w:bookmarkEnd w:id="2"/>
      <w:bookmarkStart w:id="3" w:name="_1081336766"/>
      <w:bookmarkEnd w:id="3"/>
      <w:bookmarkStart w:id="4" w:name="_1081336902"/>
      <w:bookmarkEnd w:id="4"/>
      <w:bookmarkStart w:id="5" w:name="_1081336878"/>
      <w:bookmarkEnd w:id="5"/>
      <w:bookmarkStart w:id="6" w:name="_988455526"/>
      <w:bookmarkEnd w:id="6"/>
      <w:bookmarkStart w:id="7" w:name="_1081336936"/>
      <w:bookmarkEnd w:id="7"/>
      <w:bookmarkStart w:id="8" w:name="_1081336852"/>
      <w:bookmarkEnd w:id="8"/>
      <w:bookmarkStart w:id="9" w:name="_988455157"/>
      <w:bookmarkEnd w:id="9"/>
      <w:bookmarkStart w:id="10" w:name="_988455599"/>
      <w:bookmarkEnd w:id="10"/>
      <w:bookmarkStart w:id="11" w:name="_988455233"/>
      <w:bookmarkEnd w:id="11"/>
      <w:bookmarkStart w:id="12" w:name="_988455673"/>
      <w:bookmarkEnd w:id="12"/>
      <w:bookmarkStart w:id="13" w:name="_988456248"/>
      <w:bookmarkEnd w:id="13"/>
      <w:bookmarkStart w:id="14" w:name="_1081336172"/>
      <w:bookmarkEnd w:id="14"/>
      <w:bookmarkStart w:id="15" w:name="_988455575"/>
      <w:bookmarkEnd w:id="15"/>
      <w:bookmarkStart w:id="16" w:name="_1081336197"/>
      <w:bookmarkEnd w:id="16"/>
      <w:bookmarkStart w:id="17" w:name="_988455645"/>
      <w:bookmarkEnd w:id="17"/>
      <w:bookmarkStart w:id="18" w:name="_1081336779"/>
      <w:bookmarkEnd w:id="18"/>
      <w:r>
        <w:rPr>
          <w:rFonts w:ascii="宋体" w:hAnsi="汉鼎简仿宋"/>
        </w:rPr>
        <w:object>
          <v:shape id="_x0000_i1026" o:spt="75" type="#_x0000_t75" style="height:6pt;width:445.15pt;" o:ole="t" fillcolor="#6D6D6D" filled="f" stroked="f" coordsize="21600,21600">
            <v:path/>
            <v:fill on="f" alignshape="1" focussize="0,0"/>
            <v:stroke on="f"/>
            <v:imagedata r:id="rId11" o:title=""/>
            <o:lock v:ext="edit" aspectratio="f"/>
            <w10:wrap type="none"/>
            <w10:anchorlock/>
          </v:shape>
          <o:OLEObject Type="Embed" ProgID="Word.Picture.8" ShapeID="_x0000_i1026" DrawAspect="Content" ObjectID="_1468075726" r:id="rId10">
            <o:LockedField>false</o:LockedField>
          </o:OLEObject>
        </w:object>
      </w:r>
    </w:p>
    <w:p w14:paraId="07F70A5E">
      <w:pPr>
        <w:keepNext w:val="0"/>
        <w:keepLines w:val="0"/>
        <w:pageBreakBefore w:val="0"/>
        <w:widowControl w:val="0"/>
        <w:kinsoku/>
        <w:wordWrap/>
        <w:topLinePunct w:val="0"/>
        <w:bidi w:val="0"/>
        <w:spacing w:line="580" w:lineRule="exact"/>
        <w:ind w:firstLine="0"/>
        <w:jc w:val="both"/>
        <w:textAlignment w:val="auto"/>
        <w:rPr>
          <w:rFonts w:hint="eastAsia"/>
          <w:b/>
          <w:spacing w:val="0"/>
          <w:sz w:val="44"/>
          <w:szCs w:val="44"/>
          <w:lang w:eastAsia="zh-CN"/>
        </w:rPr>
      </w:pPr>
    </w:p>
    <w:p w14:paraId="38811D70">
      <w:pPr>
        <w:keepNext w:val="0"/>
        <w:keepLines w:val="0"/>
        <w:pageBreakBefore w:val="0"/>
        <w:widowControl w:val="0"/>
        <w:kinsoku/>
        <w:wordWrap/>
        <w:topLinePunct w:val="0"/>
        <w:bidi w:val="0"/>
        <w:spacing w:line="580" w:lineRule="exact"/>
        <w:ind w:left="0" w:leftChars="0" w:firstLine="316" w:firstLineChars="100"/>
        <w:jc w:val="both"/>
        <w:textAlignment w:val="auto"/>
        <w:rPr>
          <w:rFonts w:hint="eastAsia" w:ascii="方正楷体_GBK" w:hAnsi="方正楷体_GBK" w:eastAsia="方正楷体_GBK" w:cs="方正楷体_GBK"/>
          <w:snapToGrid/>
          <w:spacing w:val="0"/>
        </w:rPr>
      </w:pPr>
      <w:r>
        <w:rPr>
          <w:rFonts w:ascii="Times New Roman" w:hAnsi="Times New Roman"/>
          <w:spacing w:val="0"/>
          <w:kern w:val="32"/>
          <w:szCs w:val="32"/>
        </w:rPr>
        <w:t>通商复字﹝2024﹞</w:t>
      </w:r>
      <w:r>
        <w:rPr>
          <w:rFonts w:hint="eastAsia" w:ascii="Times New Roman" w:hAnsi="Times New Roman"/>
          <w:spacing w:val="0"/>
          <w:kern w:val="32"/>
          <w:szCs w:val="32"/>
          <w:lang w:val="en-US" w:eastAsia="zh-CN"/>
        </w:rPr>
        <w:t>52</w:t>
      </w:r>
      <w:r>
        <w:rPr>
          <w:rFonts w:ascii="Times New Roman" w:hAnsi="Times New Roman"/>
          <w:spacing w:val="0"/>
          <w:kern w:val="32"/>
          <w:szCs w:val="32"/>
        </w:rPr>
        <w:t xml:space="preserve">号          </w:t>
      </w:r>
      <w:r>
        <w:rPr>
          <w:rFonts w:hint="eastAsia" w:ascii="Times New Roman" w:hAnsi="Times New Roman"/>
          <w:spacing w:val="0"/>
          <w:kern w:val="32"/>
          <w:szCs w:val="32"/>
        </w:rPr>
        <w:t xml:space="preserve">  </w:t>
      </w:r>
      <w:r>
        <w:rPr>
          <w:rFonts w:ascii="Times New Roman" w:hAnsi="Times New Roman"/>
          <w:spacing w:val="0"/>
          <w:kern w:val="32"/>
          <w:szCs w:val="32"/>
        </w:rPr>
        <w:t xml:space="preserve">     签发人：</w:t>
      </w:r>
      <w:r>
        <w:rPr>
          <w:rFonts w:hint="eastAsia" w:ascii="方正楷体_GBK" w:hAnsi="方正楷体_GBK" w:eastAsia="方正楷体_GBK" w:cs="方正楷体_GBK"/>
          <w:spacing w:val="0"/>
          <w:kern w:val="32"/>
          <w:szCs w:val="32"/>
        </w:rPr>
        <w:t>高洪军</w:t>
      </w:r>
    </w:p>
    <w:p w14:paraId="2D589793">
      <w:pPr>
        <w:keepNext w:val="0"/>
        <w:keepLines w:val="0"/>
        <w:pageBreakBefore w:val="0"/>
        <w:widowControl w:val="0"/>
        <w:kinsoku/>
        <w:wordWrap/>
        <w:topLinePunct w:val="0"/>
        <w:bidi w:val="0"/>
        <w:spacing w:line="580" w:lineRule="exact"/>
        <w:ind w:firstLine="0"/>
        <w:jc w:val="both"/>
        <w:textAlignment w:val="auto"/>
        <w:rPr>
          <w:rFonts w:ascii="Times New Roman" w:hAnsi="Times New Roman"/>
          <w:snapToGrid/>
          <w:spacing w:val="0"/>
          <w:sz w:val="44"/>
          <w:szCs w:val="44"/>
        </w:rPr>
      </w:pPr>
    </w:p>
    <w:p w14:paraId="6EA012A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spacing w:val="0"/>
          <w:sz w:val="44"/>
          <w:szCs w:val="44"/>
          <w:highlight w:val="none"/>
        </w:rPr>
      </w:pPr>
      <w:r>
        <w:rPr>
          <w:rFonts w:hint="eastAsia" w:ascii="方正小标宋_GBK" w:hAnsi="方正小标宋_GBK" w:eastAsia="方正小标宋_GBK" w:cs="方正小标宋_GBK"/>
          <w:color w:val="000000"/>
          <w:spacing w:val="0"/>
          <w:sz w:val="44"/>
          <w:szCs w:val="44"/>
          <w:lang w:eastAsia="zh-CN"/>
        </w:rPr>
        <w:t>对</w:t>
      </w:r>
      <w:r>
        <w:rPr>
          <w:rFonts w:hint="eastAsia" w:ascii="方正小标宋_GBK" w:hAnsi="方正小标宋_GBK" w:eastAsia="方正小标宋_GBK" w:cs="方正小标宋_GBK"/>
          <w:color w:val="000000"/>
          <w:spacing w:val="0"/>
          <w:sz w:val="44"/>
          <w:szCs w:val="44"/>
          <w:highlight w:val="none"/>
        </w:rPr>
        <w:t>市十六届人</w:t>
      </w:r>
      <w:bookmarkStart w:id="20" w:name="_GoBack"/>
      <w:bookmarkEnd w:id="20"/>
      <w:r>
        <w:rPr>
          <w:rFonts w:hint="eastAsia" w:ascii="方正小标宋_GBK" w:hAnsi="方正小标宋_GBK" w:eastAsia="方正小标宋_GBK" w:cs="方正小标宋_GBK"/>
          <w:color w:val="000000"/>
          <w:spacing w:val="0"/>
          <w:sz w:val="44"/>
          <w:szCs w:val="44"/>
          <w:highlight w:val="none"/>
        </w:rPr>
        <w:t>大四次会议</w:t>
      </w:r>
    </w:p>
    <w:p w14:paraId="29C2D82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spacing w:val="0"/>
          <w:sz w:val="44"/>
          <w:szCs w:val="44"/>
          <w:highlight w:val="none"/>
          <w:lang w:eastAsia="zh-CN"/>
        </w:rPr>
      </w:pPr>
      <w:r>
        <w:rPr>
          <w:rFonts w:hint="eastAsia" w:ascii="方正小标宋_GBK" w:hAnsi="方正小标宋_GBK" w:eastAsia="方正小标宋_GBK" w:cs="方正小标宋_GBK"/>
          <w:color w:val="000000"/>
          <w:spacing w:val="0"/>
          <w:sz w:val="44"/>
          <w:szCs w:val="44"/>
          <w:highlight w:val="none"/>
        </w:rPr>
        <w:t>第</w:t>
      </w:r>
      <w:r>
        <w:rPr>
          <w:rFonts w:hint="eastAsia" w:ascii="方正小标宋_GBK" w:hAnsi="方正小标宋_GBK" w:eastAsia="方正小标宋_GBK" w:cs="方正小标宋_GBK"/>
          <w:color w:val="000000"/>
          <w:spacing w:val="0"/>
          <w:sz w:val="44"/>
          <w:szCs w:val="44"/>
          <w:highlight w:val="none"/>
          <w:lang w:val="en-US" w:eastAsia="zh-CN"/>
        </w:rPr>
        <w:t>0278</w:t>
      </w:r>
      <w:r>
        <w:rPr>
          <w:rFonts w:hint="eastAsia" w:ascii="方正小标宋_GBK" w:hAnsi="方正小标宋_GBK" w:eastAsia="方正小标宋_GBK" w:cs="方正小标宋_GBK"/>
          <w:color w:val="000000"/>
          <w:spacing w:val="0"/>
          <w:sz w:val="44"/>
          <w:szCs w:val="44"/>
          <w:highlight w:val="none"/>
        </w:rPr>
        <w:t>号建议的答复</w:t>
      </w:r>
    </w:p>
    <w:p w14:paraId="79954E3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 w:val="0"/>
        <w:spacing w:line="58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napToGrid w:val="0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</w:pPr>
    </w:p>
    <w:p w14:paraId="19DF91F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adjustRightInd/>
        <w:spacing w:line="58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napToGrid w:val="0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napToGrid w:val="0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蒋琳梅代表：</w:t>
      </w:r>
    </w:p>
    <w:p w14:paraId="31D5089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 w:val="0"/>
        <w:spacing w:line="580" w:lineRule="exact"/>
        <w:ind w:left="0" w:leftChars="0" w:right="0" w:rightChars="0"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snapToGrid w:val="0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napToGrid w:val="0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您提出的</w:t>
      </w:r>
      <w:r>
        <w:rPr>
          <w:rFonts w:hint="eastAsia" w:ascii="Times New Roman" w:hAnsi="Times New Roman" w:cs="Times New Roman"/>
          <w:snapToGrid w:val="0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《</w:t>
      </w:r>
      <w:r>
        <w:rPr>
          <w:rFonts w:hint="default" w:ascii="Times New Roman" w:hAnsi="Times New Roman" w:eastAsia="方正仿宋_GBK" w:cs="Times New Roman"/>
          <w:snapToGrid w:val="0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关于打造</w:t>
      </w:r>
      <w:r>
        <w:rPr>
          <w:rFonts w:hint="eastAsia" w:ascii="Times New Roman" w:hAnsi="Times New Roman" w:cs="Times New Roman"/>
          <w:snapToGrid w:val="0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“</w:t>
      </w:r>
      <w:r>
        <w:rPr>
          <w:rFonts w:hint="default" w:ascii="Times New Roman" w:hAnsi="Times New Roman" w:eastAsia="方正仿宋_GBK" w:cs="Times New Roman"/>
          <w:snapToGrid w:val="0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外企敢投</w:t>
      </w:r>
      <w:r>
        <w:rPr>
          <w:rFonts w:hint="eastAsia" w:ascii="Times New Roman" w:hAnsi="Times New Roman" w:cs="Times New Roman"/>
          <w:snapToGrid w:val="0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”</w:t>
      </w:r>
      <w:r>
        <w:rPr>
          <w:rFonts w:hint="default" w:ascii="Times New Roman" w:hAnsi="Times New Roman" w:eastAsia="方正仿宋_GBK" w:cs="Times New Roman"/>
          <w:snapToGrid w:val="0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一流营商环境的建议</w:t>
      </w:r>
      <w:r>
        <w:rPr>
          <w:rFonts w:hint="eastAsia" w:ascii="Times New Roman" w:hAnsi="Times New Roman" w:cs="Times New Roman"/>
          <w:snapToGrid w:val="0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》</w:t>
      </w:r>
      <w:r>
        <w:rPr>
          <w:rFonts w:hint="default" w:ascii="Times New Roman" w:hAnsi="Times New Roman" w:eastAsia="方正仿宋_GBK" w:cs="Times New Roman"/>
          <w:snapToGrid w:val="0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收悉，</w:t>
      </w:r>
      <w:r>
        <w:rPr>
          <w:rFonts w:hint="eastAsia" w:ascii="Times New Roman" w:hAnsi="Times New Roman" w:cs="Times New Roman"/>
          <w:snapToGrid w:val="0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经会商市市场监管局、市数据局等部门，</w:t>
      </w:r>
      <w:r>
        <w:rPr>
          <w:rFonts w:hint="default" w:ascii="Times New Roman" w:hAnsi="Times New Roman" w:eastAsia="方正仿宋_GBK" w:cs="Times New Roman"/>
          <w:snapToGrid w:val="0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现答复如下：</w:t>
      </w:r>
    </w:p>
    <w:p w14:paraId="24C0165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32" w:firstLineChars="200"/>
        <w:jc w:val="both"/>
        <w:textAlignment w:val="auto"/>
        <w:rPr>
          <w:rFonts w:hint="eastAsia" w:ascii="Times New Roman" w:hAnsi="Times New Roman" w:eastAsia="方正仿宋_GBK" w:cs="Times New Roman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spacing w:val="0"/>
          <w:sz w:val="32"/>
          <w:szCs w:val="32"/>
          <w:lang w:val="en-US" w:eastAsia="zh-CN"/>
        </w:rPr>
        <w:t>党的二十届三中全会强调，要营造市场化、法治化、国际化一流营商环境，依法保护外商投资权益。南通始终坚持以习近平新时代中国特色社会主义思想为指导，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全面贯彻落实</w:t>
      </w:r>
      <w:r>
        <w:rPr>
          <w:rFonts w:hint="eastAsia" w:eastAsia="方正仿宋_GBK" w:cs="Times New Roman"/>
          <w:spacing w:val="0"/>
          <w:sz w:val="32"/>
          <w:szCs w:val="32"/>
          <w:lang w:val="en-US" w:eastAsia="zh-CN"/>
        </w:rPr>
        <w:t>中央、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省关于做好外资工作的部署要求，</w:t>
      </w:r>
      <w:r>
        <w:rPr>
          <w:rFonts w:hint="eastAsia" w:eastAsia="方正仿宋_GBK" w:cs="Times New Roman"/>
          <w:spacing w:val="0"/>
          <w:sz w:val="32"/>
          <w:szCs w:val="32"/>
          <w:lang w:val="en-US" w:eastAsia="zh-CN"/>
        </w:rPr>
        <w:t>结合南通实际、立足企业需求，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不断加强政策引领</w:t>
      </w:r>
      <w:r>
        <w:rPr>
          <w:rFonts w:hint="eastAsia" w:eastAsia="方正仿宋_GBK" w:cs="Times New Roman"/>
          <w:spacing w:val="0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完善服务机制、创新工作方</w:t>
      </w:r>
      <w:r>
        <w:rPr>
          <w:rFonts w:hint="eastAsia" w:eastAsia="方正仿宋_GBK" w:cs="Times New Roman"/>
          <w:spacing w:val="0"/>
          <w:sz w:val="32"/>
          <w:szCs w:val="32"/>
          <w:lang w:val="en-US" w:eastAsia="zh-CN"/>
        </w:rPr>
        <w:t>式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，</w:t>
      </w:r>
      <w:r>
        <w:rPr>
          <w:rFonts w:hint="eastAsia" w:eastAsia="方正仿宋_GBK" w:cs="Times New Roman"/>
          <w:spacing w:val="0"/>
          <w:sz w:val="32"/>
          <w:szCs w:val="32"/>
          <w:lang w:val="en-US" w:eastAsia="zh-CN"/>
        </w:rPr>
        <w:t>进一步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优化外商投资环境，持续激发市场活力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</w:rPr>
        <w:t>。</w:t>
      </w:r>
      <w:r>
        <w:rPr>
          <w:rFonts w:hint="eastAsia" w:eastAsia="方正仿宋_GBK" w:cs="Times New Roman"/>
          <w:spacing w:val="0"/>
          <w:sz w:val="32"/>
          <w:szCs w:val="32"/>
          <w:lang w:eastAsia="zh-CN"/>
        </w:rPr>
        <w:t>全市吸引和利用外资亮点纷呈，斯堪尼亚、亚太森博</w:t>
      </w:r>
      <w:r>
        <w:rPr>
          <w:rFonts w:hint="default" w:ascii="Times New Roman" w:hAnsi="Times New Roman" w:eastAsia="方正仿宋_GBK" w:cs="Times New Roman"/>
          <w:color w:val="0C0C0C"/>
          <w:spacing w:val="0"/>
          <w:sz w:val="32"/>
          <w:szCs w:val="32"/>
          <w:lang w:val="en-US" w:eastAsia="zh-CN"/>
        </w:rPr>
        <w:t>、天楹环保</w:t>
      </w:r>
      <w:r>
        <w:rPr>
          <w:rFonts w:hint="eastAsia" w:eastAsia="方正仿宋_GBK" w:cs="Times New Roman"/>
          <w:spacing w:val="0"/>
          <w:sz w:val="32"/>
          <w:szCs w:val="32"/>
          <w:lang w:eastAsia="zh-CN"/>
        </w:rPr>
        <w:t>、金光、大宝理等一批重大外资项目加速集聚，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中集安瑞环、默克</w:t>
      </w:r>
      <w:r>
        <w:rPr>
          <w:rFonts w:hint="eastAsia" w:eastAsia="方正仿宋_GBK" w:cs="Times New Roman"/>
          <w:spacing w:val="0"/>
          <w:sz w:val="32"/>
          <w:szCs w:val="32"/>
          <w:lang w:val="en-US" w:eastAsia="zh-CN"/>
        </w:rPr>
        <w:t>、药明康德等企业持续增资扩股、深耕发展，</w:t>
      </w:r>
      <w:r>
        <w:rPr>
          <w:rFonts w:hint="eastAsia" w:ascii="Times New Roman" w:hAnsi="Times New Roman" w:eastAsia="方正仿宋_GBK" w:cs="Times New Roman"/>
          <w:color w:val="0C0C0C"/>
          <w:spacing w:val="0"/>
          <w:sz w:val="32"/>
          <w:szCs w:val="32"/>
          <w:lang w:val="en-US" w:eastAsia="zh-CN"/>
        </w:rPr>
        <w:t>西蒙电气</w:t>
      </w:r>
      <w:r>
        <w:rPr>
          <w:rFonts w:hint="eastAsia" w:eastAsia="方正仿宋_GBK" w:cs="Times New Roman"/>
          <w:color w:val="0C0C0C"/>
          <w:spacing w:val="0"/>
          <w:sz w:val="32"/>
          <w:szCs w:val="32"/>
          <w:lang w:val="en-US" w:eastAsia="zh-CN"/>
        </w:rPr>
        <w:t>、</w:t>
      </w:r>
      <w:r>
        <w:rPr>
          <w:rFonts w:hint="eastAsia" w:cs="Times New Roman"/>
          <w:color w:val="0C0C0C"/>
          <w:spacing w:val="0"/>
          <w:sz w:val="32"/>
          <w:szCs w:val="32"/>
          <w:lang w:val="en-US" w:eastAsia="zh-CN"/>
        </w:rPr>
        <w:t>招商局重工</w:t>
      </w:r>
      <w:r>
        <w:rPr>
          <w:rFonts w:hint="eastAsia" w:ascii="Times New Roman" w:hAnsi="Times New Roman" w:eastAsia="方正仿宋_GBK" w:cs="Times New Roman"/>
          <w:color w:val="0C0C0C"/>
          <w:spacing w:val="0"/>
          <w:sz w:val="32"/>
          <w:szCs w:val="32"/>
          <w:lang w:val="en-US" w:eastAsia="zh-CN"/>
        </w:rPr>
        <w:t>、创斯达</w:t>
      </w:r>
      <w:r>
        <w:rPr>
          <w:rFonts w:hint="eastAsia" w:ascii="Times New Roman" w:hAnsi="Times New Roman" w:cs="Times New Roman"/>
          <w:color w:val="0C0C0C"/>
          <w:spacing w:val="0"/>
          <w:sz w:val="32"/>
          <w:szCs w:val="32"/>
          <w:lang w:val="en-US" w:eastAsia="zh-CN"/>
        </w:rPr>
        <w:t>、百适乐</w:t>
      </w:r>
      <w:r>
        <w:rPr>
          <w:rFonts w:hint="eastAsia" w:eastAsia="方正仿宋_GBK" w:cs="Times New Roman"/>
          <w:color w:val="0C0C0C"/>
          <w:spacing w:val="0"/>
          <w:sz w:val="32"/>
          <w:szCs w:val="32"/>
          <w:lang w:val="en-US" w:eastAsia="zh-CN"/>
        </w:rPr>
        <w:t>等企业获认定为省级跨国公司地区总部和功能性机构。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  <w:highlight w:val="none"/>
          <w:lang w:val="en-US" w:eastAsia="zh-CN"/>
        </w:rPr>
        <w:t>2021年以来，我市实际使用外资保持全省第一方阵。2024年</w:t>
      </w:r>
      <w:r>
        <w:rPr>
          <w:rFonts w:hint="eastAsia" w:ascii="Times New Roman" w:hAnsi="Times New Roman" w:eastAsia="方正仿宋_GBK" w:cs="Times New Roman"/>
          <w:color w:val="000000"/>
          <w:spacing w:val="0"/>
          <w:sz w:val="32"/>
          <w:szCs w:val="32"/>
          <w:lang w:val="en-US" w:eastAsia="zh-CN"/>
        </w:rPr>
        <w:t>1-</w:t>
      </w:r>
      <w:r>
        <w:rPr>
          <w:rFonts w:hint="eastAsia" w:ascii="Times New Roman" w:hAnsi="Times New Roman" w:cs="Times New Roman"/>
          <w:color w:val="000000"/>
          <w:spacing w:val="0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方正仿宋_GBK" w:cs="Times New Roman"/>
          <w:color w:val="000000"/>
          <w:spacing w:val="0"/>
          <w:sz w:val="32"/>
          <w:szCs w:val="32"/>
          <w:lang w:val="en-US" w:eastAsia="zh-CN"/>
        </w:rPr>
        <w:t>月</w:t>
      </w:r>
      <w:r>
        <w:rPr>
          <w:rFonts w:hint="default" w:ascii="Times New Roman" w:hAnsi="Times New Roman" w:eastAsia="方正仿宋_GBK" w:cs="Times New Roman"/>
          <w:color w:val="000000"/>
          <w:spacing w:val="0"/>
          <w:sz w:val="32"/>
          <w:szCs w:val="32"/>
          <w:lang w:val="en-US" w:eastAsia="zh-CN"/>
        </w:rPr>
        <w:t>，全市实际使用外资7.</w:t>
      </w:r>
      <w:r>
        <w:rPr>
          <w:rFonts w:hint="eastAsia" w:ascii="Times New Roman" w:hAnsi="Times New Roman" w:cs="Times New Roman"/>
          <w:color w:val="000000"/>
          <w:spacing w:val="0"/>
          <w:sz w:val="32"/>
          <w:szCs w:val="32"/>
          <w:lang w:val="en-US" w:eastAsia="zh-CN"/>
        </w:rPr>
        <w:t>99</w:t>
      </w:r>
      <w:r>
        <w:rPr>
          <w:rFonts w:hint="default" w:ascii="Times New Roman" w:hAnsi="Times New Roman" w:eastAsia="方正仿宋_GBK" w:cs="Times New Roman"/>
          <w:color w:val="000000"/>
          <w:spacing w:val="0"/>
          <w:sz w:val="32"/>
          <w:szCs w:val="32"/>
          <w:lang w:val="en-US" w:eastAsia="zh-CN"/>
        </w:rPr>
        <w:t>亿美元，总量全省第四</w:t>
      </w:r>
      <w:r>
        <w:rPr>
          <w:rFonts w:hint="eastAsia" w:ascii="Times New Roman" w:hAnsi="Times New Roman" w:eastAsia="方正仿宋_GBK" w:cs="Times New Roman"/>
          <w:color w:val="000000"/>
          <w:spacing w:val="0"/>
          <w:sz w:val="32"/>
          <w:szCs w:val="32"/>
          <w:lang w:val="en-US" w:eastAsia="zh-CN"/>
        </w:rPr>
        <w:t>。</w:t>
      </w:r>
    </w:p>
    <w:p w14:paraId="6B0210C3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32" w:firstLineChars="200"/>
        <w:jc w:val="both"/>
        <w:textAlignment w:val="auto"/>
        <w:rPr>
          <w:rFonts w:hint="eastAsia" w:ascii="Times New Roman" w:hAnsi="Times New Roman" w:cs="Times New Roman"/>
          <w:color w:val="0C0C0C"/>
          <w:spacing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0C0C0C"/>
          <w:spacing w:val="0"/>
          <w:sz w:val="32"/>
          <w:szCs w:val="32"/>
          <w:lang w:val="en-US" w:eastAsia="zh-CN"/>
        </w:rPr>
        <w:t>一是着力保障外资企业依法参与政府采购。</w:t>
      </w:r>
      <w:r>
        <w:rPr>
          <w:rFonts w:hint="eastAsia" w:ascii="方正仿宋_GBK" w:hAnsi="方正仿宋_GBK" w:eastAsia="方正仿宋_GBK" w:cs="方正仿宋_GBK"/>
          <w:spacing w:val="0"/>
          <w:sz w:val="32"/>
          <w:szCs w:val="32"/>
        </w:rPr>
        <w:t>严格执行落实财政部发布的《关于在政府采购活动中落实平等对待内外资企业有关政策的通知》</w:t>
      </w:r>
      <w:r>
        <w:rPr>
          <w:rFonts w:hint="eastAsia" w:ascii="方正仿宋_GBK" w:hAnsi="方正仿宋_GBK" w:eastAsia="方正仿宋_GBK" w:cs="方正仿宋_GBK"/>
          <w:spacing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eastAsia="zh-CN"/>
        </w:rPr>
        <w:t>财库〔2021〕35号</w:t>
      </w:r>
      <w:r>
        <w:rPr>
          <w:rFonts w:hint="eastAsia" w:ascii="方正仿宋_GBK" w:hAnsi="方正仿宋_GBK" w:eastAsia="方正仿宋_GBK" w:cs="方正仿宋_GBK"/>
          <w:spacing w:val="0"/>
          <w:sz w:val="32"/>
          <w:szCs w:val="32"/>
          <w:lang w:eastAsia="zh-CN"/>
        </w:rPr>
        <w:t>），</w:t>
      </w:r>
      <w:r>
        <w:rPr>
          <w:rFonts w:hint="eastAsia" w:ascii="方正仿宋_GBK" w:hAnsi="方正仿宋_GBK" w:eastAsia="方正仿宋_GBK" w:cs="方正仿宋_GBK"/>
          <w:spacing w:val="0"/>
          <w:sz w:val="32"/>
          <w:szCs w:val="32"/>
        </w:rPr>
        <w:t>在政府采购活动中，不以所有制形式、组织形式、股权结构、投资者国别、产品品牌以及其他不合理的条件对供应商予以限定</w:t>
      </w:r>
      <w:r>
        <w:rPr>
          <w:rFonts w:hint="eastAsia" w:ascii="方正仿宋_GBK" w:hAnsi="方正仿宋_GBK" w:eastAsia="方正仿宋_GBK" w:cs="方正仿宋_GBK"/>
          <w:spacing w:val="0"/>
          <w:sz w:val="32"/>
          <w:szCs w:val="32"/>
          <w:lang w:val="en-US" w:eastAsia="zh-CN"/>
        </w:rPr>
        <w:t>。信息发布按法律法规时限要求完成发布，做到应发尽发、不重不漏，并确保内容完整准确，抓好政府采购公平竞争审查制度的落实，采购人须将采购文件通过e审查平台审核后方可上网公告，确保不含有排除或限制市场竞争的内容。强化交易现场行为管理。规范评审现场专家管理，监督专家独立评审。严格落实</w:t>
      </w:r>
      <w:r>
        <w:rPr>
          <w:rFonts w:hint="eastAsia" w:hAnsi="方正仿宋_GBK" w:cs="方正仿宋_GBK"/>
          <w:spacing w:val="0"/>
          <w:sz w:val="32"/>
          <w:szCs w:val="32"/>
          <w:lang w:val="en-US" w:eastAsia="zh-CN"/>
        </w:rPr>
        <w:t>“</w:t>
      </w:r>
      <w:r>
        <w:rPr>
          <w:rFonts w:hint="eastAsia" w:ascii="方正仿宋_GBK" w:hAnsi="方正仿宋_GBK" w:eastAsia="方正仿宋_GBK" w:cs="方正仿宋_GBK"/>
          <w:spacing w:val="0"/>
          <w:sz w:val="32"/>
          <w:szCs w:val="32"/>
          <w:lang w:val="en-US" w:eastAsia="zh-CN"/>
        </w:rPr>
        <w:t>一标一评</w:t>
      </w:r>
      <w:r>
        <w:rPr>
          <w:rFonts w:hint="eastAsia" w:hAnsi="方正仿宋_GBK" w:cs="方正仿宋_GBK"/>
          <w:spacing w:val="0"/>
          <w:sz w:val="32"/>
          <w:szCs w:val="32"/>
          <w:lang w:val="en-US" w:eastAsia="zh-CN"/>
        </w:rPr>
        <w:t>”</w:t>
      </w:r>
      <w:r>
        <w:rPr>
          <w:rFonts w:hint="eastAsia" w:ascii="方正仿宋_GBK" w:hAnsi="方正仿宋_GBK" w:eastAsia="方正仿宋_GBK" w:cs="方正仿宋_GBK"/>
          <w:spacing w:val="0"/>
          <w:sz w:val="32"/>
          <w:szCs w:val="32"/>
          <w:lang w:val="en-US" w:eastAsia="zh-CN"/>
        </w:rPr>
        <w:t>制度，加强对评审专家日常考评，落实交易现场异常行为公示制度，对专家异常行为进行日常动态公示，配合监管部门开展好履职评价工作。</w:t>
      </w:r>
    </w:p>
    <w:p w14:paraId="4738E69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0C0C0C"/>
          <w:spacing w:val="0"/>
          <w:sz w:val="32"/>
          <w:szCs w:val="32"/>
          <w:lang w:val="en-US" w:eastAsia="zh-CN"/>
        </w:rPr>
        <w:t>二是着力完善预期更稳定的法治保障。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全面贯彻落实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《外商投资法》</w:t>
      </w:r>
      <w:r>
        <w:rPr>
          <w:rFonts w:hint="eastAsia" w:eastAsia="方正仿宋_GBK" w:cs="Times New Roman"/>
          <w:spacing w:val="0"/>
          <w:sz w:val="32"/>
          <w:szCs w:val="32"/>
          <w:lang w:val="en-US" w:eastAsia="zh-CN"/>
        </w:rPr>
        <w:t>和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《江苏省促进和保护外商投资条例》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，</w:t>
      </w:r>
      <w:r>
        <w:rPr>
          <w:rFonts w:hint="eastAsia" w:eastAsia="方正仿宋_GBK" w:cs="Times New Roman"/>
          <w:spacing w:val="0"/>
          <w:sz w:val="32"/>
          <w:szCs w:val="32"/>
          <w:lang w:val="en-US" w:eastAsia="zh-CN"/>
        </w:rPr>
        <w:t>广泛宣介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外商投资准入负面清单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、</w:t>
      </w:r>
      <w:r>
        <w:rPr>
          <w:rFonts w:hint="eastAsia" w:eastAsia="方正仿宋_GBK" w:cs="Times New Roman"/>
          <w:spacing w:val="0"/>
          <w:sz w:val="32"/>
          <w:szCs w:val="32"/>
          <w:lang w:val="en-US" w:eastAsia="zh-CN"/>
        </w:rPr>
        <w:t>外汇便利化措施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等</w:t>
      </w:r>
      <w:r>
        <w:rPr>
          <w:rFonts w:hint="eastAsia" w:eastAsia="方正仿宋_GBK" w:cs="Times New Roman"/>
          <w:spacing w:val="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帮助外资企业深入理解好、灵活运用好。认真落实外商投资准入前国民待遇加负面清单管理制度，全面清理与《外商投资法》</w:t>
      </w:r>
      <w:r>
        <w:rPr>
          <w:rFonts w:hint="eastAsia" w:eastAsia="方正仿宋_GBK" w:cs="Times New Roman"/>
          <w:spacing w:val="0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《江苏省促进和保护外商投资条例》不相符的</w:t>
      </w:r>
      <w:r>
        <w:rPr>
          <w:rFonts w:hint="eastAsia" w:eastAsia="方正仿宋_GBK" w:cs="Times New Roman"/>
          <w:spacing w:val="0"/>
          <w:sz w:val="32"/>
          <w:szCs w:val="32"/>
          <w:lang w:val="en-US" w:eastAsia="zh-CN"/>
        </w:rPr>
        <w:t>政策文件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，落实好外商投资信息报告制度。统筹优化涉外资企业执法检查</w:t>
      </w:r>
      <w:r>
        <w:rPr>
          <w:rFonts w:hint="eastAsia" w:eastAsia="方正仿宋_GBK" w:cs="Times New Roman"/>
          <w:spacing w:val="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切实推行市场监管领域轻微违法行为首违不罚、免罚、从轻处罚、减轻处罚和不予行政强制措施</w:t>
      </w:r>
      <w:r>
        <w:rPr>
          <w:rFonts w:hint="eastAsia" w:ascii="Times New Roman" w:hAnsi="Times New Roman" w:cs="Times New Roman"/>
          <w:spacing w:val="0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五张清单</w:t>
      </w:r>
      <w:r>
        <w:rPr>
          <w:rFonts w:hint="eastAsia" w:ascii="Times New Roman" w:hAnsi="Times New Roman" w:cs="Times New Roman"/>
          <w:spacing w:val="0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。持续推进企业信用风险分类南通特色指标体系建设，统筹实施</w:t>
      </w:r>
      <w:r>
        <w:rPr>
          <w:rFonts w:hint="eastAsia" w:ascii="Times New Roman" w:hAnsi="Times New Roman" w:cs="Times New Roman"/>
          <w:spacing w:val="0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信用+双随机</w:t>
      </w:r>
      <w:r>
        <w:rPr>
          <w:rFonts w:hint="eastAsia" w:ascii="Times New Roman" w:hAnsi="Times New Roman" w:cs="Times New Roman"/>
          <w:spacing w:val="0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融合监管，对信用风险低的外资企业降低抽查比例和频次。</w:t>
      </w:r>
    </w:p>
    <w:p w14:paraId="3DB1437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0C0C0C"/>
          <w:spacing w:val="0"/>
          <w:sz w:val="32"/>
          <w:szCs w:val="32"/>
          <w:lang w:val="en-US" w:eastAsia="zh-CN"/>
        </w:rPr>
        <w:t>三是</w:t>
      </w:r>
      <w:r>
        <w:rPr>
          <w:rFonts w:hint="default" w:ascii="方正黑体_GBK" w:hAnsi="方正黑体_GBK" w:eastAsia="方正黑体_GBK" w:cs="方正黑体_GBK"/>
          <w:color w:val="0C0C0C"/>
          <w:spacing w:val="0"/>
          <w:sz w:val="32"/>
          <w:szCs w:val="32"/>
          <w:lang w:val="en-US" w:eastAsia="zh-CN"/>
        </w:rPr>
        <w:t>着力营造企业更满意的市场环境。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推进公平竞争审查全覆盖，及时清理排斥或歧视外资企业及其产品和服务的政策措施。对2021</w:t>
      </w:r>
      <w:r>
        <w:rPr>
          <w:rFonts w:hint="eastAsia" w:ascii="Times New Roman" w:hAnsi="Times New Roman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2023年市级存量文件开展评估，累计监测需审查的文件3.97万份，对疑似问题文件逐份排查；依托信息化系统，常态化开展存量文件监测，暂未发现排斥和歧视外商的政策措施。提高涉外知识产权执法水平，妥善处理涉外知识产权案件，落实知识产权侵权惩罚性赔偿制度。发挥专利侵权纠纷行政裁决制度作用，加大行政裁决执行力度。深化外资企业专利侵权纠纷行政调解司法确认机制，增强行政调解法律执行效力。优化展会知识产权工作站服务，对外资企业权利人投诉8小时内快速响应、24小时内及时处理。健全外商投诉制度和流程，及时、有效处理外资企业投诉，帮助南通宏基缝纫设备有限公司、江苏泰森食品有限公司2家外资企业解决了生产经营中遇到的问题。</w:t>
      </w:r>
    </w:p>
    <w:p w14:paraId="2D0622D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80" w:lineRule="exact"/>
        <w:ind w:left="0" w:leftChars="0" w:right="0" w:rightChars="0"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pacing w:val="0"/>
          <w:sz w:val="32"/>
          <w:szCs w:val="32"/>
          <w:lang w:val="en-US" w:eastAsia="zh-CN"/>
        </w:rPr>
        <w:t>下一步，我们将持续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加大外商投资引导力度，提升投资经营便利化水平，强化外商投资促进和服务保障工作，不断释放服务外商投资企业的强大合力，切实吸引更多外资企业选择南通、留在南通，</w:t>
      </w:r>
      <w:r>
        <w:rPr>
          <w:rFonts w:hint="eastAsia" w:eastAsia="方正仿宋_GBK" w:cs="Times New Roman"/>
          <w:spacing w:val="0"/>
          <w:sz w:val="32"/>
          <w:szCs w:val="32"/>
          <w:lang w:val="en-US" w:eastAsia="zh-CN"/>
        </w:rPr>
        <w:t>努力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推动实现更高水平对外开放。</w:t>
      </w:r>
    </w:p>
    <w:p w14:paraId="0C38A01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32" w:firstLineChars="200"/>
        <w:jc w:val="both"/>
        <w:textAlignment w:val="auto"/>
        <w:rPr>
          <w:rFonts w:hint="eastAsia" w:ascii="Times New Roman" w:hAnsi="Times New Roman" w:eastAsia="方正仿宋_GBK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0C0C0C"/>
          <w:spacing w:val="0"/>
          <w:sz w:val="32"/>
          <w:szCs w:val="32"/>
          <w:lang w:val="en-US" w:eastAsia="zh-CN"/>
        </w:rPr>
        <w:t>一是进一步保障国民待遇。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全面落实外商投资准入前国民待遇加负面清单管理制度，在负面清单之外的领域，不针对外商投资设置新的准入限制。密切关注国家层面对鼓励外商投资产业目录、外资准入负面清单的修订情况，待新版出台后，第一时间进行贯彻落实，并积极面向外资企业进行宣介。动态跟踪《南通市更大力度吸引和利用外资若干措施》</w:t>
      </w:r>
      <w:r>
        <w:rPr>
          <w:rFonts w:hint="eastAsia" w:ascii="Times New Roman" w:hAnsi="Times New Roman" w:cs="Times New Roman"/>
          <w:spacing w:val="0"/>
          <w:sz w:val="32"/>
          <w:szCs w:val="32"/>
          <w:lang w:val="en-US" w:eastAsia="zh-CN"/>
        </w:rPr>
        <w:t>（通政办发〔2023〕52号）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落实情况，把每一项的政策措施落到实处，切实将政策红利转化为外资企业发展动力。</w:t>
      </w:r>
    </w:p>
    <w:p w14:paraId="33C4395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0C0C0C"/>
          <w:spacing w:val="0"/>
          <w:sz w:val="32"/>
          <w:szCs w:val="32"/>
          <w:lang w:val="en-US" w:eastAsia="zh-CN"/>
        </w:rPr>
        <w:t>二是进一步优化政务服务</w:t>
      </w:r>
      <w:r>
        <w:rPr>
          <w:rFonts w:hint="default" w:ascii="方正黑体_GBK" w:hAnsi="方正黑体_GBK" w:eastAsia="方正黑体_GBK" w:cs="方正黑体_GBK"/>
          <w:color w:val="0C0C0C"/>
          <w:spacing w:val="0"/>
          <w:sz w:val="32"/>
          <w:szCs w:val="32"/>
          <w:lang w:val="en-US" w:eastAsia="zh-CN"/>
        </w:rPr>
        <w:t>。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深化外资企业走访机制，对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企业提出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的问题持续跟踪、闭环解决。完善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重大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项目推进机制，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全面实行</w:t>
      </w:r>
      <w:r>
        <w:rPr>
          <w:rFonts w:hint="eastAsia" w:ascii="Times New Roman" w:hAnsi="Times New Roman" w:cs="Times New Roman"/>
          <w:spacing w:val="0"/>
          <w:sz w:val="32"/>
          <w:szCs w:val="32"/>
          <w:lang w:val="en-US" w:eastAsia="zh-CN"/>
        </w:rPr>
        <w:t>“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不见面</w:t>
      </w:r>
      <w:r>
        <w:rPr>
          <w:rFonts w:hint="eastAsia" w:ascii="Times New Roman" w:hAnsi="Times New Roman" w:cs="Times New Roman"/>
          <w:spacing w:val="0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审批和预审服务，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加强全方位要素保障，依法依规给予项目规划、用地等政策支持。精准定向保障外资项目用地，促进企业</w:t>
      </w:r>
      <w:r>
        <w:rPr>
          <w:rFonts w:hint="eastAsia" w:ascii="Times New Roman" w:hAnsi="Times New Roman" w:cs="Times New Roman"/>
          <w:spacing w:val="0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拿地即开工</w:t>
      </w:r>
      <w:r>
        <w:rPr>
          <w:rFonts w:hint="eastAsia" w:ascii="Times New Roman" w:hAnsi="Times New Roman" w:cs="Times New Roman"/>
          <w:spacing w:val="0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常态化、普遍化。对部省专班项目条块协同、部门联动，专人服务、专班推进。强化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外籍员工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工作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生活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保障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机制，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为符合条件的外籍高层次产业人才、青年人才提供津贴补贴、资金资助等各项服务。用足用好外国人来华政策，优化外资企业外籍员工工作许可、停居留政策，优化出入境便利措施。</w:t>
      </w:r>
    </w:p>
    <w:p w14:paraId="3861FC8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0C0C0C"/>
          <w:spacing w:val="0"/>
          <w:sz w:val="32"/>
          <w:szCs w:val="32"/>
          <w:lang w:val="en-US" w:eastAsia="zh-CN"/>
        </w:rPr>
        <w:t>三是进一步释放财税动能</w:t>
      </w:r>
      <w:r>
        <w:rPr>
          <w:rFonts w:hint="default" w:ascii="方正黑体_GBK" w:hAnsi="方正黑体_GBK" w:eastAsia="方正黑体_GBK" w:cs="方正黑体_GBK"/>
          <w:color w:val="0C0C0C"/>
          <w:spacing w:val="0"/>
          <w:sz w:val="32"/>
          <w:szCs w:val="32"/>
          <w:lang w:val="en-US" w:eastAsia="zh-CN"/>
        </w:rPr>
        <w:t>。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在用好用足部省外资专项资金的基础上，</w:t>
      </w:r>
      <w:r>
        <w:rPr>
          <w:rFonts w:hint="eastAsia" w:ascii="Times New Roman" w:hAnsi="Times New Roman" w:cs="Times New Roman"/>
          <w:spacing w:val="0"/>
          <w:sz w:val="32"/>
          <w:szCs w:val="32"/>
          <w:lang w:val="en-US" w:eastAsia="zh-CN"/>
        </w:rPr>
        <w:t>在法律法规政策规定范围内，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加大财税支持力度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，提振外资企业扎根南通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、深耕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发展的信心。做好鼓励类外商投资项目进口设备免税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外资研发中心采购国产设备全额退还增值税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相关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政策措施落实，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帮助外资企业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办理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享受税收优惠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。</w:t>
      </w:r>
    </w:p>
    <w:p w14:paraId="4BD3A65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0C0C0C"/>
          <w:spacing w:val="0"/>
          <w:sz w:val="32"/>
          <w:szCs w:val="32"/>
          <w:lang w:val="en-US" w:eastAsia="zh-CN"/>
        </w:rPr>
        <w:t>四是进一步拓展沟通渠道。</w:t>
      </w:r>
      <w:r>
        <w:rPr>
          <w:rFonts w:hint="eastAsia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建立政企常态化沟通机制，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举办政企对话会、外资企业早餐会等活动，了解企业发展情况，倾听企业诉求。强化外资企业间信息交流、资源共享，深化产业链上下游融合，激发集群优势、强化互补协同。利用网站、刊物、微信公众号、视频号等多种方式提供外商投资政策宣传、资讯信息服务，帮助企业了解政策变化更及时、在通发展更便利。</w:t>
      </w:r>
    </w:p>
    <w:p w14:paraId="68A960DE">
      <w:pPr>
        <w:bidi w:val="0"/>
        <w:ind w:left="0" w:leftChars="0" w:firstLine="0" w:firstLineChars="0"/>
        <w:rPr>
          <w:rFonts w:hint="default"/>
        </w:rPr>
      </w:pPr>
    </w:p>
    <w:p w14:paraId="68E41888">
      <w:pPr>
        <w:bidi w:val="0"/>
        <w:ind w:left="0" w:leftChars="0" w:firstLine="0" w:firstLineChars="0"/>
        <w:rPr>
          <w:rFonts w:hint="default"/>
        </w:rPr>
      </w:pPr>
    </w:p>
    <w:p w14:paraId="0ADFD248">
      <w:pPr>
        <w:bidi w:val="0"/>
        <w:ind w:left="0" w:leftChars="0" w:firstLine="0" w:firstLineChars="0"/>
        <w:rPr>
          <w:rFonts w:hint="default"/>
        </w:rPr>
      </w:pPr>
    </w:p>
    <w:p w14:paraId="7402FBF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spacing w:line="580" w:lineRule="exact"/>
        <w:ind w:left="0" w:leftChars="0" w:right="0" w:rightChars="0" w:firstLine="632" w:firstLineChars="200"/>
        <w:jc w:val="both"/>
        <w:textAlignment w:val="auto"/>
        <w:rPr>
          <w:rFonts w:ascii="Times New Roman" w:hAnsi="Times New Roman"/>
          <w:snapToGrid/>
          <w:spacing w:val="0"/>
          <w:szCs w:val="32"/>
        </w:rPr>
      </w:pPr>
      <w:r>
        <w:rPr>
          <w:rFonts w:ascii="Times New Roman" w:hAnsi="Times New Roman"/>
          <w:snapToGrid/>
          <w:spacing w:val="0"/>
          <w:szCs w:val="32"/>
        </w:rPr>
        <w:t xml:space="preserve">  </w:t>
      </w:r>
      <w:r>
        <w:rPr>
          <w:rFonts w:hint="eastAsia" w:ascii="Times New Roman" w:hAnsi="Times New Roman"/>
          <w:snapToGrid/>
          <w:spacing w:val="0"/>
          <w:szCs w:val="32"/>
        </w:rPr>
        <w:t xml:space="preserve">                            </w:t>
      </w:r>
      <w:r>
        <w:rPr>
          <w:rFonts w:hint="eastAsia" w:ascii="Times New Roman" w:hAnsi="Times New Roman"/>
          <w:snapToGrid/>
          <w:spacing w:val="0"/>
          <w:szCs w:val="32"/>
          <w:lang w:val="en-US" w:eastAsia="zh-CN"/>
        </w:rPr>
        <w:t xml:space="preserve">  </w:t>
      </w:r>
      <w:r>
        <w:rPr>
          <w:rFonts w:ascii="Times New Roman" w:hAnsi="Times New Roman"/>
          <w:snapToGrid/>
          <w:spacing w:val="0"/>
          <w:szCs w:val="32"/>
        </w:rPr>
        <w:t>南通市商务局</w:t>
      </w:r>
    </w:p>
    <w:p w14:paraId="1AF6B9F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spacing w:line="580" w:lineRule="exact"/>
        <w:ind w:left="0" w:leftChars="0" w:right="0" w:rightChars="0" w:firstLine="632" w:firstLineChars="200"/>
        <w:jc w:val="both"/>
        <w:textAlignment w:val="auto"/>
        <w:rPr>
          <w:spacing w:val="0"/>
          <w:sz w:val="32"/>
          <w:szCs w:val="32"/>
        </w:rPr>
      </w:pPr>
      <w:r>
        <w:rPr>
          <w:rFonts w:hint="eastAsia" w:ascii="Times New Roman" w:hAnsi="Times New Roman"/>
          <w:snapToGrid/>
          <w:spacing w:val="0"/>
          <w:szCs w:val="32"/>
          <w:lang w:val="en-US" w:eastAsia="zh-CN"/>
        </w:rPr>
        <w:t xml:space="preserve">                                </w:t>
      </w:r>
      <w:r>
        <w:rPr>
          <w:rFonts w:ascii="Times New Roman" w:hAnsi="Times New Roman"/>
          <w:snapToGrid/>
          <w:spacing w:val="0"/>
          <w:szCs w:val="32"/>
        </w:rPr>
        <w:t>2024年</w:t>
      </w:r>
      <w:r>
        <w:rPr>
          <w:rFonts w:hint="eastAsia" w:ascii="Times New Roman" w:hAnsi="Times New Roman"/>
          <w:snapToGrid/>
          <w:spacing w:val="0"/>
          <w:szCs w:val="32"/>
          <w:lang w:val="en-US" w:eastAsia="zh-CN"/>
        </w:rPr>
        <w:t>9</w:t>
      </w:r>
      <w:r>
        <w:rPr>
          <w:rFonts w:hint="eastAsia" w:ascii="Times New Roman" w:hAnsi="Times New Roman"/>
          <w:snapToGrid/>
          <w:spacing w:val="0"/>
          <w:szCs w:val="32"/>
          <w:lang w:eastAsia="zh-CN"/>
        </w:rPr>
        <w:t>月</w:t>
      </w:r>
      <w:r>
        <w:rPr>
          <w:rFonts w:hint="eastAsia" w:ascii="Times New Roman" w:hAnsi="Times New Roman"/>
          <w:snapToGrid/>
          <w:spacing w:val="0"/>
          <w:szCs w:val="32"/>
          <w:lang w:val="en-US" w:eastAsia="zh-CN"/>
        </w:rPr>
        <w:t>3</w:t>
      </w:r>
      <w:r>
        <w:rPr>
          <w:rFonts w:ascii="Times New Roman" w:hAnsi="Times New Roman"/>
          <w:snapToGrid/>
          <w:spacing w:val="0"/>
          <w:szCs w:val="32"/>
        </w:rPr>
        <w:t>日</w:t>
      </w:r>
    </w:p>
    <w:p w14:paraId="75432753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spacing w:line="580" w:lineRule="exact"/>
        <w:ind w:left="0" w:leftChars="0" w:right="0" w:rightChars="0" w:firstLine="0" w:firstLineChars="0"/>
        <w:jc w:val="both"/>
        <w:textAlignment w:val="auto"/>
        <w:rPr>
          <w:rFonts w:ascii="Times New Roman" w:hAnsi="Times New Roman"/>
          <w:spacing w:val="0"/>
        </w:rPr>
      </w:pPr>
    </w:p>
    <w:p w14:paraId="35E256B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spacing w:line="580" w:lineRule="exact"/>
        <w:ind w:left="0" w:leftChars="0" w:right="0" w:rightChars="0" w:firstLine="0" w:firstLineChars="0"/>
        <w:jc w:val="both"/>
        <w:textAlignment w:val="auto"/>
        <w:rPr>
          <w:rFonts w:ascii="Times New Roman" w:hAnsi="Times New Roman"/>
          <w:spacing w:val="0"/>
        </w:rPr>
      </w:pPr>
    </w:p>
    <w:p w14:paraId="6E9CF04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spacing w:line="580" w:lineRule="exact"/>
        <w:ind w:left="0" w:leftChars="0" w:right="0" w:rightChars="0" w:firstLine="0" w:firstLineChars="0"/>
        <w:jc w:val="both"/>
        <w:textAlignment w:val="auto"/>
        <w:rPr>
          <w:rFonts w:ascii="Times New Roman" w:hAnsi="Times New Roman"/>
          <w:spacing w:val="0"/>
        </w:rPr>
      </w:pPr>
    </w:p>
    <w:p w14:paraId="3FE90EB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spacing w:line="580" w:lineRule="exact"/>
        <w:ind w:left="0" w:leftChars="0" w:right="0" w:rightChars="0" w:firstLine="0" w:firstLineChars="0"/>
        <w:jc w:val="both"/>
        <w:textAlignment w:val="auto"/>
        <w:rPr>
          <w:rFonts w:ascii="Times New Roman" w:hAnsi="Times New Roman"/>
          <w:spacing w:val="0"/>
        </w:rPr>
      </w:pPr>
    </w:p>
    <w:p w14:paraId="2F19371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spacing w:line="580" w:lineRule="exact"/>
        <w:ind w:left="0" w:leftChars="0" w:right="0" w:rightChars="0" w:firstLine="0" w:firstLineChars="0"/>
        <w:jc w:val="both"/>
        <w:textAlignment w:val="auto"/>
        <w:rPr>
          <w:rFonts w:ascii="Times New Roman" w:hAnsi="Times New Roman"/>
          <w:spacing w:val="0"/>
        </w:rPr>
      </w:pPr>
    </w:p>
    <w:p w14:paraId="0D1DCC8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spacing w:line="580" w:lineRule="exact"/>
        <w:ind w:left="0" w:leftChars="0" w:right="0" w:rightChars="0" w:firstLine="0" w:firstLineChars="0"/>
        <w:jc w:val="both"/>
        <w:textAlignment w:val="auto"/>
        <w:rPr>
          <w:rFonts w:ascii="Times New Roman" w:hAnsi="Times New Roman"/>
          <w:spacing w:val="0"/>
        </w:rPr>
      </w:pPr>
    </w:p>
    <w:p w14:paraId="0AF33A2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spacing w:line="580" w:lineRule="exact"/>
        <w:ind w:left="0" w:leftChars="0" w:right="0" w:rightChars="0" w:firstLine="0" w:firstLineChars="0"/>
        <w:jc w:val="both"/>
        <w:textAlignment w:val="auto"/>
        <w:rPr>
          <w:rFonts w:ascii="Times New Roman" w:hAnsi="Times New Roman"/>
          <w:spacing w:val="0"/>
        </w:rPr>
      </w:pPr>
    </w:p>
    <w:p w14:paraId="37E134F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spacing w:line="580" w:lineRule="exact"/>
        <w:ind w:left="0" w:leftChars="0" w:right="0" w:rightChars="0" w:firstLine="0" w:firstLineChars="0"/>
        <w:jc w:val="both"/>
        <w:textAlignment w:val="auto"/>
        <w:rPr>
          <w:rFonts w:ascii="Times New Roman" w:hAnsi="Times New Roman"/>
          <w:spacing w:val="0"/>
        </w:rPr>
      </w:pPr>
    </w:p>
    <w:p w14:paraId="5F15BBA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spacing w:line="580" w:lineRule="exact"/>
        <w:ind w:left="0" w:leftChars="0" w:right="0" w:rightChars="0" w:firstLine="0" w:firstLineChars="0"/>
        <w:jc w:val="both"/>
        <w:textAlignment w:val="auto"/>
        <w:rPr>
          <w:rFonts w:ascii="Times New Roman" w:hAnsi="Times New Roman"/>
          <w:spacing w:val="0"/>
        </w:rPr>
      </w:pPr>
    </w:p>
    <w:p w14:paraId="5AC40F3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spacing w:line="580" w:lineRule="exact"/>
        <w:ind w:left="0" w:leftChars="0" w:right="0" w:rightChars="0" w:firstLine="0" w:firstLineChars="0"/>
        <w:jc w:val="both"/>
        <w:textAlignment w:val="auto"/>
        <w:rPr>
          <w:rFonts w:ascii="Times New Roman" w:hAnsi="Times New Roman"/>
          <w:spacing w:val="0"/>
        </w:rPr>
      </w:pPr>
    </w:p>
    <w:p w14:paraId="194DB713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spacing w:line="580" w:lineRule="exact"/>
        <w:ind w:left="0" w:leftChars="0" w:right="0" w:rightChars="0" w:firstLine="0" w:firstLineChars="0"/>
        <w:jc w:val="both"/>
        <w:textAlignment w:val="auto"/>
        <w:rPr>
          <w:rFonts w:hint="eastAsia" w:ascii="Times New Roman" w:hAnsi="Times New Roman" w:eastAsia="方正仿宋_GBK"/>
          <w:spacing w:val="0"/>
          <w:lang w:eastAsia="zh-CN"/>
        </w:rPr>
      </w:pPr>
      <w:r>
        <w:rPr>
          <w:rFonts w:ascii="Times New Roman" w:hAnsi="Times New Roman"/>
          <w:spacing w:val="0"/>
        </w:rPr>
        <w:t>联 系 人：</w:t>
      </w:r>
      <w:r>
        <w:rPr>
          <w:rFonts w:hint="eastAsia" w:ascii="Times New Roman" w:hAnsi="Times New Roman"/>
          <w:spacing w:val="0"/>
          <w:lang w:eastAsia="zh-CN"/>
        </w:rPr>
        <w:t>王文涛</w:t>
      </w:r>
    </w:p>
    <w:p w14:paraId="55B92FD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spacing w:line="580" w:lineRule="exact"/>
        <w:ind w:left="0" w:leftChars="0" w:right="0" w:rightChars="0" w:firstLine="0" w:firstLineChars="0"/>
        <w:jc w:val="both"/>
        <w:textAlignment w:val="auto"/>
        <w:rPr>
          <w:rFonts w:hint="eastAsia" w:ascii="Times New Roman" w:hAnsi="Times New Roman"/>
          <w:spacing w:val="0"/>
        </w:rPr>
      </w:pPr>
      <w:r>
        <w:rPr>
          <w:rFonts w:ascii="Times New Roman" w:hAnsi="Times New Roman"/>
          <w:spacing w:val="0"/>
        </w:rPr>
        <w:t>联系电话：851152</w:t>
      </w:r>
      <w:r>
        <w:rPr>
          <w:rFonts w:hint="eastAsia" w:ascii="Times New Roman" w:hAnsi="Times New Roman"/>
          <w:spacing w:val="0"/>
        </w:rPr>
        <w:t>57</w:t>
      </w:r>
    </w:p>
    <w:p w14:paraId="05E0829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spacing w:line="580" w:lineRule="exact"/>
        <w:ind w:left="0" w:leftChars="0" w:right="0" w:rightChars="0" w:firstLine="0" w:firstLineChars="0"/>
        <w:jc w:val="both"/>
        <w:textAlignment w:val="auto"/>
        <w:rPr>
          <w:rFonts w:hint="eastAsia"/>
          <w:b/>
          <w:spacing w:val="0"/>
          <w:sz w:val="44"/>
          <w:szCs w:val="44"/>
          <w:lang w:eastAsia="zh-CN"/>
        </w:rPr>
      </w:pPr>
      <w:r>
        <w:rPr>
          <w:rFonts w:hint="eastAsia" w:ascii="Times New Roman" w:hAnsi="Times New Roman"/>
          <w:spacing w:val="0"/>
          <w:lang w:eastAsia="zh-CN"/>
        </w:rPr>
        <w:t>抄</w:t>
      </w:r>
      <w:r>
        <w:rPr>
          <w:rFonts w:hint="eastAsia" w:ascii="Times New Roman" w:hAnsi="Times New Roman"/>
          <w:spacing w:val="0"/>
          <w:lang w:val="en-US" w:eastAsia="zh-CN"/>
        </w:rPr>
        <w:t xml:space="preserve">    </w:t>
      </w:r>
      <w:r>
        <w:rPr>
          <w:rFonts w:hint="eastAsia" w:ascii="Times New Roman" w:hAnsi="Times New Roman"/>
          <w:spacing w:val="0"/>
          <w:lang w:eastAsia="zh-CN"/>
        </w:rPr>
        <w:t>送：市人大常委会人代委、市政府办公室</w:t>
      </w:r>
    </w:p>
    <w:sectPr>
      <w:headerReference r:id="rId5" w:type="first"/>
      <w:footerReference r:id="rId8" w:type="first"/>
      <w:footerReference r:id="rId6" w:type="default"/>
      <w:footerReference r:id="rId7" w:type="even"/>
      <w:pgSz w:w="11906" w:h="16838"/>
      <w:pgMar w:top="1814" w:right="1531" w:bottom="1985" w:left="1531" w:header="720" w:footer="1474" w:gutter="0"/>
      <w:paperSrc w:first="15" w:other="15"/>
      <w:pgNumType w:start="1"/>
      <w:cols w:space="720" w:num="1"/>
      <w:titlePg/>
      <w:docGrid w:type="linesAndChars" w:linePitch="590" w:charSpace="-102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汉鼎简大宋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鼎简仿宋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7CB2E8">
    <w:pPr>
      <w:pStyle w:val="6"/>
      <w:rPr>
        <w:rFonts w:hint="default" w:ascii="Times New Roman" w:hAnsi="Times New Roman" w:cs="Times New Roman"/>
      </w:rPr>
    </w:pPr>
    <w:r>
      <w:rPr>
        <w:rFonts w:hint="default" w:ascii="Times New Roman" w:hAnsi="Times New Roman" w:cs="Times New Roman"/>
      </w:rPr>
      <w:t xml:space="preserve">— </w:t>
    </w:r>
    <w:r>
      <w:rPr>
        <w:rFonts w:hint="default" w:ascii="Times New Roman" w:hAnsi="Times New Roman" w:cs="Times New Roman"/>
      </w:rPr>
      <w:fldChar w:fldCharType="begin"/>
    </w:r>
    <w:r>
      <w:rPr>
        <w:rFonts w:hint="default" w:ascii="Times New Roman" w:hAnsi="Times New Roman" w:cs="Times New Roman"/>
      </w:rPr>
      <w:instrText xml:space="preserve"> PAGE </w:instrText>
    </w:r>
    <w:r>
      <w:rPr>
        <w:rFonts w:hint="default" w:ascii="Times New Roman" w:hAnsi="Times New Roman" w:cs="Times New Roman"/>
      </w:rPr>
      <w:fldChar w:fldCharType="separate"/>
    </w:r>
    <w:r>
      <w:rPr>
        <w:rFonts w:hint="default" w:ascii="Times New Roman" w:hAnsi="Times New Roman" w:cs="Times New Roman"/>
      </w:rPr>
      <w:t>3</w:t>
    </w:r>
    <w:r>
      <w:rPr>
        <w:rFonts w:hint="default" w:ascii="Times New Roman" w:hAnsi="Times New Roman" w:cs="Times New Roman"/>
      </w:rPr>
      <w:fldChar w:fldCharType="end"/>
    </w:r>
    <w:r>
      <w:rPr>
        <w:rFonts w:hint="default" w:ascii="Times New Roman" w:hAnsi="Times New Roman" w:cs="Times New Roman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C21FCF">
    <w:pPr>
      <w:pStyle w:val="6"/>
      <w:ind w:right="560"/>
      <w:jc w:val="both"/>
      <w:rPr>
        <w:rFonts w:hint="default" w:ascii="Times New Roman" w:hAnsi="Times New Roman" w:cs="Times New Roman"/>
      </w:rPr>
    </w:pPr>
    <w:r>
      <w:rPr>
        <w:rFonts w:hint="default" w:ascii="Times New Roman" w:hAnsi="Times New Roman" w:cs="Times New Roman"/>
      </w:rPr>
      <w:t xml:space="preserve">— </w:t>
    </w:r>
    <w:r>
      <w:rPr>
        <w:rFonts w:hint="default" w:ascii="Times New Roman" w:hAnsi="Times New Roman" w:cs="Times New Roman"/>
      </w:rPr>
      <w:fldChar w:fldCharType="begin"/>
    </w:r>
    <w:r>
      <w:rPr>
        <w:rFonts w:hint="default" w:ascii="Times New Roman" w:hAnsi="Times New Roman" w:cs="Times New Roman"/>
      </w:rPr>
      <w:instrText xml:space="preserve"> PAGE </w:instrText>
    </w:r>
    <w:r>
      <w:rPr>
        <w:rFonts w:hint="default" w:ascii="Times New Roman" w:hAnsi="Times New Roman" w:cs="Times New Roman"/>
      </w:rPr>
      <w:fldChar w:fldCharType="separate"/>
    </w:r>
    <w:r>
      <w:rPr>
        <w:rFonts w:hint="default" w:ascii="Times New Roman" w:hAnsi="Times New Roman" w:cs="Times New Roman"/>
      </w:rPr>
      <w:t>2</w:t>
    </w:r>
    <w:r>
      <w:rPr>
        <w:rFonts w:hint="default" w:ascii="Times New Roman" w:hAnsi="Times New Roman" w:cs="Times New Roman"/>
      </w:rPr>
      <w:fldChar w:fldCharType="end"/>
    </w:r>
    <w:r>
      <w:rPr>
        <w:rFonts w:hint="default" w:ascii="Times New Roman" w:hAnsi="Times New Roman" w:cs="Times New Roman"/>
      </w:rPr>
      <w:t xml:space="preserve">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240109">
    <w:pPr>
      <w:pStyle w:val="16"/>
      <w:snapToGrid w:val="0"/>
      <w:spacing w:after="120" w:line="120" w:lineRule="atLeast"/>
      <w:ind w:left="-57" w:right="-57"/>
      <w:rPr>
        <w:rFonts w:ascii="宋体"/>
      </w:rPr>
    </w:pPr>
    <w:bookmarkStart w:id="19" w:name="_1081337396"/>
    <w:bookmarkEnd w:id="19"/>
    <w:r>
      <w:rPr>
        <w:rFonts w:ascii="宋体" w:hAnsi="汉鼎简仿宋"/>
      </w:rPr>
      <w:object>
        <v:shape id="_x0000_i1025" o:spt="75" type="#_x0000_t75" style="height:6pt;width:445.15pt;" o:ole="t" fillcolor="#6D6D6D" filled="f" stroked="f" coordsize="21600,21600">
          <v:path/>
          <v:fill on="f" alignshape="1" focussize="0,0"/>
          <v:stroke on="f"/>
          <v:imagedata r:id="rId2" o:title=""/>
          <o:lock v:ext="edit" aspectratio="t"/>
          <w10:wrap type="none"/>
          <w10:anchorlock/>
        </v:shape>
        <o:OLEObject Type="Embed" ProgID="Word.Picture.8" ShapeID="_x0000_i1025" DrawAspect="Content" ObjectID="_1468075725" r:id="rId1">
          <o:LockedField>false</o:LockedField>
        </o:OLEObject>
      </w:obje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BFE823"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kinsoku/>
      <w:wordWrap/>
      <w:overflowPunct/>
      <w:topLinePunct w:val="0"/>
      <w:bidi w:val="0"/>
      <w:adjustRightInd/>
      <w:snapToGrid w:val="0"/>
      <w:spacing w:line="440" w:lineRule="exact"/>
      <w:ind w:firstLine="624"/>
      <w:jc w:val="right"/>
      <w:textAlignment w:val="auto"/>
      <w:rPr>
        <w:rFonts w:ascii="方正黑体_GBK" w:hAnsi="方正黑体_GBK" w:eastAsia="方正黑体_GBK" w:cs="方正黑体_GBK"/>
        <w:snapToGrid/>
        <w:sz w:val="32"/>
        <w:szCs w:val="32"/>
      </w:rPr>
    </w:pPr>
    <w:r>
      <w:rPr>
        <w:rFonts w:hint="eastAsia" w:ascii="方正黑体_GBK" w:hAnsi="方正黑体_GBK" w:eastAsia="方正黑体_GBK" w:cs="方正黑体_GBK"/>
        <w:snapToGrid/>
        <w:sz w:val="32"/>
        <w:szCs w:val="32"/>
      </w:rPr>
      <w:t>A</w:t>
    </w:r>
  </w:p>
  <w:p w14:paraId="39DECD0F">
    <w:pPr>
      <w:pStyle w:val="7"/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kinsoku/>
      <w:wordWrap/>
      <w:overflowPunct/>
      <w:topLinePunct w:val="0"/>
      <w:bidi w:val="0"/>
      <w:adjustRightInd/>
      <w:snapToGrid w:val="0"/>
      <w:spacing w:line="440" w:lineRule="exact"/>
      <w:ind w:firstLine="624"/>
      <w:jc w:val="right"/>
      <w:textAlignment w:val="auto"/>
      <w:rPr>
        <w:sz w:val="32"/>
        <w:szCs w:val="32"/>
      </w:rPr>
    </w:pPr>
    <w:r>
      <w:rPr>
        <w:rFonts w:hint="eastAsia" w:ascii="方正黑体_GBK" w:hAnsi="方正黑体_GBK" w:eastAsia="方正黑体_GBK" w:cs="方正黑体_GBK"/>
        <w:snapToGrid/>
        <w:sz w:val="32"/>
        <w:szCs w:val="32"/>
      </w:rPr>
      <w:t>公开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evenAndOddHeaders w:val="1"/>
  <w:drawingGridHorizontalSpacing w:val="315"/>
  <w:drawingGridVerticalSpacing w:val="295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％＇），．：；？］｀｜｝～￠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2Y5YmI3ODY2MDc0ZDkyZGJhYWU3NzM0ZGIzNjRmYzMifQ=="/>
  </w:docVars>
  <w:rsids>
    <w:rsidRoot w:val="43D65BA0"/>
    <w:rsid w:val="000A08E7"/>
    <w:rsid w:val="0011031D"/>
    <w:rsid w:val="00224CEE"/>
    <w:rsid w:val="002E5B14"/>
    <w:rsid w:val="00343011"/>
    <w:rsid w:val="00483704"/>
    <w:rsid w:val="004E0863"/>
    <w:rsid w:val="0064023B"/>
    <w:rsid w:val="0068424F"/>
    <w:rsid w:val="00765A10"/>
    <w:rsid w:val="00786A63"/>
    <w:rsid w:val="007E25B0"/>
    <w:rsid w:val="009568CF"/>
    <w:rsid w:val="00982475"/>
    <w:rsid w:val="00993108"/>
    <w:rsid w:val="00A36005"/>
    <w:rsid w:val="00B61886"/>
    <w:rsid w:val="00BB3630"/>
    <w:rsid w:val="00CC3ECD"/>
    <w:rsid w:val="00D41A24"/>
    <w:rsid w:val="00E00085"/>
    <w:rsid w:val="00E40CBC"/>
    <w:rsid w:val="00ED25D5"/>
    <w:rsid w:val="00ED687C"/>
    <w:rsid w:val="00F47B5B"/>
    <w:rsid w:val="164B0622"/>
    <w:rsid w:val="1E5063A1"/>
    <w:rsid w:val="2540006F"/>
    <w:rsid w:val="28267917"/>
    <w:rsid w:val="330B5ED8"/>
    <w:rsid w:val="36201528"/>
    <w:rsid w:val="37E6581D"/>
    <w:rsid w:val="39BA2D80"/>
    <w:rsid w:val="3B6B264B"/>
    <w:rsid w:val="40B20C7B"/>
    <w:rsid w:val="43D65BA0"/>
    <w:rsid w:val="43E443EC"/>
    <w:rsid w:val="4440141F"/>
    <w:rsid w:val="48B066CF"/>
    <w:rsid w:val="499E07E8"/>
    <w:rsid w:val="56737851"/>
    <w:rsid w:val="72201EA6"/>
    <w:rsid w:val="783D58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方正仿宋_GBK" w:hAnsi="Calibri" w:eastAsia="方正仿宋_GBK" w:cs="Times New Roman"/>
      <w:snapToGrid w:val="0"/>
      <w:sz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tLeast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framePr w:hSpace="181" w:vSpace="181" w:wrap="notBeside" w:vAnchor="text" w:hAnchor="text" w:y="1"/>
      <w:ind w:firstLine="0"/>
      <w:jc w:val="center"/>
      <w:outlineLvl w:val="1"/>
    </w:pPr>
    <w:rPr>
      <w:rFonts w:ascii="Arial" w:hAnsi="Arial" w:eastAsia="楷体"/>
    </w:rPr>
  </w:style>
  <w:style w:type="paragraph" w:styleId="4">
    <w:name w:val="heading 3"/>
    <w:basedOn w:val="1"/>
    <w:next w:val="5"/>
    <w:qFormat/>
    <w:uiPriority w:val="0"/>
    <w:pPr>
      <w:keepNext/>
      <w:keepLines/>
      <w:spacing w:before="260" w:after="260" w:line="416" w:lineRule="atLeast"/>
      <w:outlineLvl w:val="2"/>
    </w:pPr>
    <w:rPr>
      <w:b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Style w:val="8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next w:val="1"/>
    <w:qFormat/>
    <w:uiPriority w:val="0"/>
    <w:pPr>
      <w:adjustRightInd w:val="0"/>
      <w:snapToGrid/>
      <w:ind w:firstLine="0"/>
      <w:jc w:val="left"/>
    </w:pPr>
    <w:rPr>
      <w:spacing w:val="-25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pacing w:line="400" w:lineRule="atLeast"/>
      <w:ind w:firstLine="0"/>
      <w:jc w:val="right"/>
    </w:pPr>
    <w:rPr>
      <w:rFonts w:ascii="Times New Roman"/>
      <w:sz w:val="28"/>
      <w:szCs w:val="21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character" w:styleId="10">
    <w:name w:val="page number"/>
    <w:basedOn w:val="9"/>
    <w:qFormat/>
    <w:uiPriority w:val="0"/>
  </w:style>
  <w:style w:type="character" w:styleId="11">
    <w:name w:val="Hyperlink"/>
    <w:basedOn w:val="9"/>
    <w:unhideWhenUsed/>
    <w:qFormat/>
    <w:uiPriority w:val="99"/>
    <w:rPr>
      <w:color w:val="0000FF"/>
      <w:u w:val="single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paragraph" w:customStyle="1" w:styleId="13">
    <w:name w:val="标题1"/>
    <w:basedOn w:val="1"/>
    <w:next w:val="1"/>
    <w:qFormat/>
    <w:uiPriority w:val="0"/>
    <w:pPr>
      <w:tabs>
        <w:tab w:val="left" w:pos="9193"/>
        <w:tab w:val="left" w:pos="9827"/>
      </w:tabs>
      <w:spacing w:line="700" w:lineRule="atLeast"/>
      <w:ind w:firstLine="0"/>
      <w:jc w:val="center"/>
    </w:pPr>
    <w:rPr>
      <w:rFonts w:ascii="方正小标宋_GBK" w:eastAsia="方正小标宋_GBK"/>
      <w:sz w:val="44"/>
    </w:rPr>
  </w:style>
  <w:style w:type="paragraph" w:customStyle="1" w:styleId="14">
    <w:name w:val="标题2"/>
    <w:basedOn w:val="1"/>
    <w:next w:val="1"/>
    <w:qFormat/>
    <w:uiPriority w:val="0"/>
    <w:pPr>
      <w:ind w:firstLine="0"/>
      <w:jc w:val="center"/>
    </w:pPr>
    <w:rPr>
      <w:rFonts w:ascii="方正楷体_GBK" w:hAnsi="Book Antiqua" w:eastAsia="方正楷体_GBK"/>
    </w:rPr>
  </w:style>
  <w:style w:type="paragraph" w:customStyle="1" w:styleId="15">
    <w:name w:val="文头"/>
    <w:basedOn w:val="16"/>
    <w:qFormat/>
    <w:uiPriority w:val="0"/>
    <w:pPr>
      <w:spacing w:before="320" w:after="0"/>
      <w:ind w:left="227" w:right="227"/>
      <w:jc w:val="distribute"/>
    </w:pPr>
    <w:rPr>
      <w:rFonts w:ascii="汉鼎简大宋" w:eastAsia="汉鼎简大宋"/>
      <w:color w:val="FF0000"/>
      <w:spacing w:val="36"/>
      <w:w w:val="82"/>
      <w:sz w:val="90"/>
    </w:rPr>
  </w:style>
  <w:style w:type="paragraph" w:customStyle="1" w:styleId="16">
    <w:name w:val="红线"/>
    <w:basedOn w:val="1"/>
    <w:qFormat/>
    <w:uiPriority w:val="0"/>
    <w:pPr>
      <w:autoSpaceDE w:val="0"/>
      <w:autoSpaceDN w:val="0"/>
      <w:adjustRightInd w:val="0"/>
      <w:snapToGrid/>
      <w:spacing w:after="170" w:line="227" w:lineRule="atLeast"/>
      <w:ind w:firstLine="0"/>
      <w:jc w:val="center"/>
    </w:pPr>
    <w:rPr>
      <w:spacing w:val="0"/>
      <w:kern w:val="0"/>
      <w:sz w:val="10"/>
    </w:rPr>
  </w:style>
  <w:style w:type="paragraph" w:customStyle="1" w:styleId="17">
    <w:name w:val="标题3"/>
    <w:basedOn w:val="1"/>
    <w:next w:val="1"/>
    <w:qFormat/>
    <w:uiPriority w:val="0"/>
    <w:rPr>
      <w:rFonts w:ascii="方正黑体_GBK" w:eastAsia="方正黑体_GBK"/>
    </w:rPr>
  </w:style>
  <w:style w:type="paragraph" w:customStyle="1" w:styleId="18">
    <w:name w:val="主题词"/>
    <w:basedOn w:val="1"/>
    <w:qFormat/>
    <w:uiPriority w:val="0"/>
    <w:pPr>
      <w:adjustRightInd w:val="0"/>
      <w:snapToGrid/>
      <w:ind w:firstLine="0"/>
      <w:jc w:val="left"/>
    </w:pPr>
    <w:rPr>
      <w:rFonts w:ascii="方正小标宋_GBK" w:eastAsia="方正黑体_GBK"/>
    </w:rPr>
  </w:style>
  <w:style w:type="paragraph" w:customStyle="1" w:styleId="19">
    <w:name w:val="抄送栏"/>
    <w:basedOn w:val="1"/>
    <w:qFormat/>
    <w:uiPriority w:val="0"/>
    <w:pPr>
      <w:adjustRightInd w:val="0"/>
      <w:snapToGrid/>
      <w:ind w:left="953" w:hanging="953"/>
    </w:pPr>
    <w:rPr>
      <w:spacing w:val="0"/>
      <w:kern w:val="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2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wmf"/><Relationship Id="rId1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2024&#24180;&#25991;&#26723;\&#27169;&#29256;\&#21335;&#36890;&#24066;&#21830;&#21153;&#23616;&#32418;&#22836;&#27169;&#2925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南通市商务局红头模版.dot</Template>
  <Pages>5</Pages>
  <Words>6</Words>
  <Characters>6</Characters>
  <Lines>1</Lines>
  <Paragraphs>1</Paragraphs>
  <TotalTime>0</TotalTime>
  <ScaleCrop>false</ScaleCrop>
  <LinksUpToDate>false</LinksUpToDate>
  <CharactersWithSpaces>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2024-09-04T02:29:00Z</dcterms:created>
  <dc:creator>翻不完的日历</dc:creator>
  <cp:lastModifiedBy>翻不完的日历</cp:lastModifiedBy>
  <dcterms:modified xsi:type="dcterms:W3CDTF">2024-09-04T02:33:35Z</dcterms:modified>
  <dc:title>苏政办函模板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ED4FBFB4CBFE4F6A95B5CA8F0376906A_11</vt:lpwstr>
  </property>
</Properties>
</file>