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8248D">
      <w:pPr>
        <w:pStyle w:val="18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202B0735">
      <w:pPr>
        <w:pStyle w:val="19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645"/>
      <w:bookmarkEnd w:id="0"/>
      <w:bookmarkStart w:id="1" w:name="_1081336172"/>
      <w:bookmarkEnd w:id="1"/>
      <w:bookmarkStart w:id="2" w:name="_1081336766"/>
      <w:bookmarkEnd w:id="2"/>
      <w:bookmarkStart w:id="3" w:name="_988456248"/>
      <w:bookmarkEnd w:id="3"/>
      <w:bookmarkStart w:id="4" w:name="_1081336936"/>
      <w:bookmarkEnd w:id="4"/>
      <w:bookmarkStart w:id="5" w:name="_1081335927"/>
      <w:bookmarkEnd w:id="5"/>
      <w:bookmarkStart w:id="6" w:name="_988455526"/>
      <w:bookmarkEnd w:id="6"/>
      <w:bookmarkStart w:id="7" w:name="_988455575"/>
      <w:bookmarkEnd w:id="7"/>
      <w:bookmarkStart w:id="8" w:name="_1081336878"/>
      <w:bookmarkEnd w:id="8"/>
      <w:bookmarkStart w:id="9" w:name="_1081336197"/>
      <w:bookmarkEnd w:id="9"/>
      <w:bookmarkStart w:id="10" w:name="_1081336902"/>
      <w:bookmarkEnd w:id="10"/>
      <w:bookmarkStart w:id="11" w:name="_1081336852"/>
      <w:bookmarkEnd w:id="11"/>
      <w:bookmarkStart w:id="12" w:name="_988455212"/>
      <w:bookmarkEnd w:id="12"/>
      <w:bookmarkStart w:id="13" w:name="_1081336779"/>
      <w:bookmarkEnd w:id="13"/>
      <w:bookmarkStart w:id="14" w:name="_988455626"/>
      <w:bookmarkEnd w:id="14"/>
      <w:bookmarkStart w:id="15" w:name="_988455157"/>
      <w:bookmarkEnd w:id="15"/>
      <w:bookmarkStart w:id="16" w:name="_988455599"/>
      <w:bookmarkEnd w:id="16"/>
      <w:bookmarkStart w:id="17" w:name="_988455233"/>
      <w:bookmarkEnd w:id="17"/>
      <w:bookmarkStart w:id="18" w:name="_988455673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3BD64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0"/>
        <w:jc w:val="both"/>
        <w:textAlignment w:val="auto"/>
        <w:rPr>
          <w:rFonts w:hint="eastAsia"/>
          <w:b/>
          <w:sz w:val="44"/>
          <w:szCs w:val="44"/>
          <w:lang w:eastAsia="zh-CN"/>
        </w:rPr>
      </w:pPr>
    </w:p>
    <w:p w14:paraId="3D3CB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316" w:firstLineChars="100"/>
        <w:jc w:val="both"/>
        <w:textAlignment w:val="auto"/>
        <w:rPr>
          <w:rFonts w:hint="eastAsia" w:ascii="方正楷体_GBK" w:hAnsi="方正楷体_GBK" w:eastAsia="方正楷体_GBK" w:cs="方正楷体_GBK"/>
          <w:snapToGrid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 xml:space="preserve">通商复字﹝2024﹞62号 </w:t>
      </w:r>
      <w:r>
        <w:rPr>
          <w:rFonts w:hint="eastAsia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 xml:space="preserve">                </w:t>
      </w:r>
      <w:r>
        <w:rPr>
          <w:rFonts w:hint="eastAsia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签发人：</w:t>
      </w:r>
      <w:r>
        <w:rPr>
          <w:rFonts w:hint="eastAsia" w:ascii="方正楷体_GBK" w:hAnsi="方正楷体_GBK" w:eastAsia="方正楷体_GBK" w:cs="方正楷体_GBK"/>
          <w:snapToGrid w:val="0"/>
          <w:kern w:val="0"/>
          <w:sz w:val="32"/>
          <w:szCs w:val="32"/>
          <w:lang w:val="en-US" w:eastAsia="zh-CN" w:bidi="ar-SA"/>
        </w:rPr>
        <w:t>高洪军</w:t>
      </w:r>
    </w:p>
    <w:p w14:paraId="44CEB1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after="0" w:line="590" w:lineRule="exact"/>
        <w:ind w:left="0" w:leftChars="0" w:firstLine="0" w:firstLineChars="0"/>
        <w:textAlignment w:val="auto"/>
        <w:rPr>
          <w:rFonts w:hint="eastAsia"/>
          <w:b/>
          <w:sz w:val="44"/>
          <w:szCs w:val="44"/>
          <w:lang w:eastAsia="zh-CN"/>
        </w:rPr>
      </w:pPr>
    </w:p>
    <w:p w14:paraId="1B055FA8">
      <w:pPr>
        <w:keepNext w:val="0"/>
        <w:keepLines w:val="0"/>
        <w:pageBreakBefore w:val="0"/>
        <w:widowControl w:val="0"/>
        <w:tabs>
          <w:tab w:val="left" w:pos="9193"/>
          <w:tab w:val="left" w:pos="9827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sz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/>
          <w:sz w:val="44"/>
        </w:rPr>
        <w:t>对市十六届人大</w:t>
      </w:r>
      <w:r>
        <w:rPr>
          <w:rFonts w:hint="eastAsia" w:ascii="方正小标宋_GBK" w:hAnsi="方正小标宋_GBK" w:eastAsia="方正小标宋_GBK" w:cs="方正小标宋_GBK"/>
          <w:snapToGrid/>
          <w:sz w:val="44"/>
          <w:lang w:eastAsia="zh-CN"/>
        </w:rPr>
        <w:t>四</w:t>
      </w:r>
      <w:r>
        <w:rPr>
          <w:rFonts w:hint="eastAsia" w:ascii="方正小标宋_GBK" w:hAnsi="方正小标宋_GBK" w:eastAsia="方正小标宋_GBK" w:cs="方正小标宋_GBK"/>
          <w:snapToGrid/>
          <w:sz w:val="44"/>
        </w:rPr>
        <w:t>次会议第</w:t>
      </w:r>
      <w:r>
        <w:rPr>
          <w:rFonts w:hint="eastAsia" w:ascii="方正小标宋_GBK" w:hAnsi="方正小标宋_GBK" w:eastAsia="方正小标宋_GBK" w:cs="方正小标宋_GBK"/>
          <w:snapToGrid/>
          <w:sz w:val="44"/>
          <w:lang w:val="en-US" w:eastAsia="zh-CN"/>
        </w:rPr>
        <w:t>147</w:t>
      </w:r>
      <w:r>
        <w:rPr>
          <w:rFonts w:hint="eastAsia" w:ascii="方正小标宋_GBK" w:hAnsi="方正小标宋_GBK" w:eastAsia="方正小标宋_GBK" w:cs="方正小标宋_GBK"/>
          <w:snapToGrid/>
          <w:sz w:val="44"/>
        </w:rPr>
        <w:t>号建议的答复</w:t>
      </w:r>
    </w:p>
    <w:p w14:paraId="48298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</w:pPr>
    </w:p>
    <w:p w14:paraId="5E952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李丹瑾代表：</w:t>
      </w:r>
    </w:p>
    <w:p w14:paraId="58A52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您提出的</w:t>
      </w:r>
      <w:r>
        <w:rPr>
          <w:rFonts w:hint="default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《</w:t>
      </w: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关于加大高端餐饮扶持力度，促进第三产业提质升级的建议</w:t>
      </w:r>
      <w:r>
        <w:rPr>
          <w:rFonts w:hint="default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》</w:t>
      </w: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收悉</w:t>
      </w:r>
      <w:r>
        <w:rPr>
          <w:rFonts w:hint="default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加强我市高端餐饮发展，有利于推动消费品质升级，打造城市名片，提升城市形象。我们对您的建议高度重视，及时进行认真学习和研究，形成如下答复意见：</w:t>
      </w:r>
    </w:p>
    <w:p w14:paraId="2ADFF4F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一、加强政策支持，打造美食名片</w:t>
      </w:r>
    </w:p>
    <w:p w14:paraId="2CE1F099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632" w:firstLineChars="200"/>
        <w:jc w:val="both"/>
        <w:textAlignment w:val="auto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7月29日，国务院印发《关于促进服务消费高质量发展的意见》（国发〔2024〕18号），为贯彻落实国务院文件，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我局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目前正在加快落实起草《南通市促进服务消费高质量发展实施方案》，在打造南通美食地标方面，将结合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四圈两群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建设，重点打造一批特色鲜明、集聚人气的美食优品，支持本土品牌餐饮企业参与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米其林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”“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黑珍珠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等高品质餐厅评选打榜，积极开展名店、名厨、名菜等评选活动，提升南通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江海美食名片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在国内外的知名度和影响力。</w:t>
      </w:r>
    </w:p>
    <w:p w14:paraId="784354F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二、积极盘活资产，推动消费升级</w:t>
      </w:r>
    </w:p>
    <w:p w14:paraId="561B0E0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根据</w:t>
      </w: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市委、市政府统一部署要求，国资委大力推动国有企业资产运营盘活工作，鼓励国有企业通过合作、招租、处置等方式提升国有资产经营效益，同时提升城市形象，推动消费品质升级。目前，金鳌坊、五山片区的滨江新天地、花鸟园等项目属南通文化旅游产业发展集团有限公司（简称文旅集团）名下资产。文旅集团正在主动与国内外高端餐饮品牌洽谈，通过合作经营、招租等多种方式引入高端餐饮品牌，想方设法盘活闲置资产，努力提升国有资产商业价值。</w:t>
      </w:r>
    </w:p>
    <w:p w14:paraId="7F814D2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强化资金保障，提升餐饮品质</w:t>
      </w:r>
    </w:p>
    <w:p w14:paraId="1751DD5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/>
        <w:jc w:val="both"/>
        <w:textAlignment w:val="auto"/>
        <w:rPr>
          <w:rFonts w:hint="default" w:ascii="Times New Roman" w:hAnsi="Times New Roman" w:cs="Times New Roman"/>
          <w:color w:val="FF0000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为促进消费提质扩容，2022年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sz w:val="32"/>
          <w:szCs w:val="32"/>
        </w:rPr>
        <w:t>我市印发了《关于建设</w:t>
      </w:r>
      <w:r>
        <w:rPr>
          <w:rFonts w:hint="eastAsia" w:asci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z w:val="32"/>
          <w:szCs w:val="32"/>
        </w:rPr>
        <w:t>四大商圈、两大集群</w:t>
      </w:r>
      <w:r>
        <w:rPr>
          <w:rFonts w:hint="eastAsia" w:asci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z w:val="32"/>
          <w:szCs w:val="32"/>
        </w:rPr>
        <w:t>的实施方案》，注重激活本地消费与吸引外来消费，力争三年内打造一批传承城市文化、彰显城市特色、提升城市品质的特色商圈、精品酒店、精致餐饮，为全市商业经济繁荣发展提供强劲动力。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截至目前，</w:t>
      </w:r>
      <w:r>
        <w:rPr>
          <w:rFonts w:hint="default" w:ascii="Times New Roman" w:hAnsi="Times New Roman" w:cs="Times New Roman"/>
          <w:color w:val="auto"/>
          <w:szCs w:val="32"/>
        </w:rPr>
        <w:t>环濠河区域</w:t>
      </w:r>
      <w:r>
        <w:rPr>
          <w:rFonts w:hint="default" w:ascii="Times New Roman" w:hAnsi="Times New Roman" w:cs="Times New Roman"/>
        </w:rPr>
        <w:t>华达广场濠八私房菜、恋之轩藕园、船长酒吧等餐饮项目完成改造升级，新入驻网红餐饮品牌、椒麻大师、山椿等已开张营业。</w:t>
      </w:r>
      <w:r>
        <w:rPr>
          <w:rFonts w:hint="default" w:ascii="Times New Roman" w:hAnsi="Times New Roman" w:eastAsia="仿宋" w:cs="Times New Roman"/>
        </w:rPr>
        <w:t>城山路1号的四和春餐厅主打精致早茶系列，中式庭院古色古香，打造</w:t>
      </w:r>
      <w:r>
        <w:rPr>
          <w:rFonts w:hint="default" w:ascii="Times New Roman" w:hAnsi="Times New Roman" w:eastAsia="仿宋" w:cs="Times New Roman"/>
          <w:lang w:val="en-US" w:eastAsia="zh-CN"/>
        </w:rPr>
        <w:t>全市首家</w:t>
      </w:r>
      <w:r>
        <w:rPr>
          <w:rFonts w:hint="default" w:ascii="Times New Roman" w:hAnsi="Times New Roman" w:eastAsia="仿宋" w:cs="Times New Roman"/>
        </w:rPr>
        <w:t>老字号餐饮集合店。金鳌坊</w:t>
      </w:r>
      <w:r>
        <w:rPr>
          <w:rFonts w:hint="default" w:ascii="Times New Roman" w:hAnsi="Times New Roman" w:cs="Times New Roman"/>
          <w:color w:val="auto"/>
          <w:szCs w:val="32"/>
        </w:rPr>
        <w:t>以南通本地江海文化为背景，运用南通本土江海特色食材，打造高端餐饮业龙头品牌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。</w:t>
      </w:r>
      <w:r>
        <w:rPr>
          <w:rFonts w:hint="default" w:ascii="Times New Roman" w:hAnsi="Times New Roman" w:cs="Times New Roman"/>
          <w:color w:val="auto"/>
          <w:szCs w:val="32"/>
        </w:rPr>
        <w:t>精致船餐项目——禧苑·濠河宴对外营业，项目位于桂花岛内，串联起濠河景区内多个景点，可以边品美食边欣赏濠河的秀丽风光。</w:t>
      </w:r>
      <w:r>
        <w:rPr>
          <w:rFonts w:hint="default" w:ascii="Times New Roman" w:hAnsi="Times New Roman" w:eastAsia="仿宋" w:cs="Times New Roman"/>
          <w:lang w:val="en-US" w:eastAsia="zh-CN"/>
        </w:rPr>
        <w:t>五山片区</w:t>
      </w:r>
      <w:r>
        <w:rPr>
          <w:rFonts w:hint="default" w:ascii="Times New Roman" w:hAnsi="Times New Roman" w:cs="Times New Roman"/>
          <w:color w:val="auto"/>
          <w:szCs w:val="32"/>
        </w:rPr>
        <w:t>充分发挥历史、文化、山水资源优势，</w:t>
      </w:r>
      <w:r>
        <w:rPr>
          <w:rFonts w:hint="default" w:ascii="Times New Roman" w:hAnsi="Times New Roman" w:cs="Times New Roman"/>
          <w:lang w:val="en-US" w:eastAsia="zh-CN"/>
        </w:rPr>
        <w:t>已</w:t>
      </w:r>
      <w:r>
        <w:rPr>
          <w:rFonts w:hint="default" w:ascii="Times New Roman" w:hAnsi="Times New Roman" w:cs="Times New Roman"/>
          <w:szCs w:val="32"/>
        </w:rPr>
        <w:t>招引小喜袁（由黑珍珠餐厅</w:t>
      </w:r>
      <w:r>
        <w:rPr>
          <w:rFonts w:hint="eastAsia" w:ascii="Times New Roman" w:cs="Times New Roman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zCs w:val="32"/>
        </w:rPr>
        <w:t>上海浦江春晓</w:t>
      </w:r>
      <w:r>
        <w:rPr>
          <w:rFonts w:hint="eastAsia" w:ascii="Times New Roman" w:cs="Times New Roman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zCs w:val="32"/>
        </w:rPr>
        <w:t>输出管理）、轩华阁、宝利轩等多家餐饮商户入驻，高标准建设的锦江都城酒店已投入运营</w:t>
      </w:r>
      <w:r>
        <w:rPr>
          <w:rFonts w:hint="default" w:ascii="Times New Roman" w:hAnsi="Times New Roman" w:cs="Times New Roman"/>
          <w:color w:val="auto"/>
          <w:szCs w:val="32"/>
        </w:rPr>
        <w:t>。</w:t>
      </w:r>
    </w:p>
    <w:p w14:paraId="68FD3E7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四、加强部门协作，优化消费环境</w:t>
      </w:r>
    </w:p>
    <w:p w14:paraId="200B14D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市场监管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部门</w:t>
      </w:r>
      <w:r>
        <w:rPr>
          <w:rFonts w:hint="default" w:ascii="Times New Roman" w:hAnsi="Times New Roman" w:cs="Times New Roman"/>
          <w:sz w:val="32"/>
          <w:szCs w:val="32"/>
        </w:rPr>
        <w:t>扎实推进</w:t>
      </w:r>
      <w:r>
        <w:rPr>
          <w:rFonts w:hint="eastAsia" w:asci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z w:val="32"/>
          <w:szCs w:val="32"/>
        </w:rPr>
        <w:t>一件事</w:t>
      </w:r>
      <w:r>
        <w:rPr>
          <w:rFonts w:hint="eastAsia" w:asci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z w:val="32"/>
          <w:szCs w:val="32"/>
        </w:rPr>
        <w:t>改革，按照</w:t>
      </w:r>
      <w:r>
        <w:rPr>
          <w:rFonts w:hint="eastAsia" w:asci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z w:val="32"/>
          <w:szCs w:val="32"/>
        </w:rPr>
        <w:t>一表申请、一套材料、一次提交、限时办结</w:t>
      </w:r>
      <w:r>
        <w:rPr>
          <w:rFonts w:hint="eastAsia" w:asci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z w:val="32"/>
          <w:szCs w:val="32"/>
        </w:rPr>
        <w:t>的要求，通过部门流程再造、数据共享、并联审批等方式，对经营者申请食品经营许可证（小餐饮备案）、户外广告设施设置的审批、公共聚集场所投入使用、营业前消防安全检查等政务服务事项提供</w:t>
      </w:r>
      <w:r>
        <w:rPr>
          <w:rFonts w:hint="eastAsia" w:asci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z w:val="32"/>
          <w:szCs w:val="32"/>
        </w:rPr>
        <w:t>一件事</w:t>
      </w:r>
      <w:r>
        <w:rPr>
          <w:rFonts w:hint="eastAsia" w:asci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z w:val="32"/>
          <w:szCs w:val="32"/>
        </w:rPr>
        <w:t>集成办理，多证联发服务。确保在规范做好源头管控的同时便利企业办证办照，实现事前规范指导、事中合并办理、事后有效监管，极大降低经营者的时间成本。建立并运用首违不罚、免罚轻罚等制度措施，大力推进包容审慎监管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去年</w:t>
      </w:r>
      <w:r>
        <w:rPr>
          <w:rFonts w:hint="default" w:ascii="Times New Roman" w:hAnsi="Times New Roman" w:cs="Times New Roman"/>
          <w:sz w:val="32"/>
          <w:szCs w:val="32"/>
        </w:rPr>
        <w:t>7月，已将市场监管轻微违法免罚轻罚清单升级至4.0版，从原先的</w:t>
      </w:r>
      <w:r>
        <w:rPr>
          <w:rFonts w:hint="eastAsia" w:asci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z w:val="32"/>
          <w:szCs w:val="32"/>
        </w:rPr>
        <w:t>一张清单</w:t>
      </w:r>
      <w:r>
        <w:rPr>
          <w:rFonts w:hint="eastAsia" w:asci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z w:val="32"/>
          <w:szCs w:val="32"/>
        </w:rPr>
        <w:t>拓展至首违不罚、免罚、从轻处罚、减轻处罚、不予行政强制措施</w:t>
      </w:r>
      <w:r>
        <w:rPr>
          <w:rFonts w:hint="eastAsia" w:asci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z w:val="32"/>
          <w:szCs w:val="32"/>
        </w:rPr>
        <w:t>五张清单</w:t>
      </w:r>
      <w:r>
        <w:rPr>
          <w:rFonts w:hint="eastAsia" w:asci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sz w:val="32"/>
          <w:szCs w:val="32"/>
        </w:rPr>
        <w:t>覆盖了包括餐饮经营在内的27个领域180项行为。</w:t>
      </w:r>
    </w:p>
    <w:p w14:paraId="708BB3EC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632" w:firstLineChars="200"/>
        <w:jc w:val="both"/>
        <w:textAlignment w:val="auto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下一步，我们将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根据您的建议，</w:t>
      </w:r>
      <w:r>
        <w:rPr>
          <w:rFonts w:hint="eastAsia" w:ascii="Times New Roman"/>
          <w:szCs w:val="32"/>
        </w:rPr>
        <w:t>以高度负责的态度、持之以恒的举措</w:t>
      </w:r>
      <w:r>
        <w:rPr>
          <w:rFonts w:hint="eastAsia" w:ascii="Times New Roman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szCs w:val="32"/>
          <w:lang w:eastAsia="zh-CN"/>
        </w:rPr>
        <w:t>深入落实好国家、省促进服务消费</w:t>
      </w:r>
      <w:r>
        <w:rPr>
          <w:rFonts w:hint="eastAsia" w:ascii="Times New Roman" w:hAnsi="Times New Roman" w:cs="Times New Roman"/>
          <w:szCs w:val="32"/>
          <w:lang w:val="en-US" w:eastAsia="zh-CN"/>
        </w:rPr>
        <w:t>高质量发展</w:t>
      </w:r>
      <w:r>
        <w:rPr>
          <w:rFonts w:hint="default" w:ascii="Times New Roman" w:hAnsi="Times New Roman" w:cs="Times New Roman"/>
          <w:szCs w:val="32"/>
          <w:lang w:eastAsia="zh-CN"/>
        </w:rPr>
        <w:t>各项工作部署，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贯彻落实《关于建设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四大商圈、两大集群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的实施方案》，</w:t>
      </w: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大力引进安缦、松赞、花间堂、裸心等高端酒店运营品牌及米其林、黑珍珠等各类精致餐饮品牌落户南通，在桂花岛、小喜袁、轩华阁、宝利轩等多家精致餐饮商户入驻的基础上，继续加大环濠河、五山地区精致餐饮项目改造升级力度</w:t>
      </w:r>
      <w:r>
        <w:rPr>
          <w:rFonts w:hint="default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。会同市财政局、</w:t>
      </w:r>
      <w:r>
        <w:rPr>
          <w:rFonts w:hint="eastAsia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市</w:t>
      </w:r>
      <w:r>
        <w:rPr>
          <w:rFonts w:hint="default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文广旅局、</w:t>
      </w:r>
      <w:r>
        <w:rPr>
          <w:rFonts w:hint="eastAsia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市</w:t>
      </w:r>
      <w:r>
        <w:rPr>
          <w:rFonts w:hint="default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市场监管局等部门，</w:t>
      </w: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加快打造一批布局合理、类型多样、主题鲜明、特色突出的精致餐饮集群</w:t>
      </w:r>
      <w:r>
        <w:rPr>
          <w:rFonts w:hint="default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为在通市民游客提供高品质的餐饮服务。</w:t>
      </w:r>
    </w:p>
    <w:p w14:paraId="07C3520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/>
        <w:jc w:val="both"/>
        <w:textAlignment w:val="auto"/>
        <w:rPr>
          <w:rFonts w:hint="eastAsia" w:ascii="Times New Roman" w:hAnsi="Times New Roman" w:cs="Times New Roman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cs="Times New Roman"/>
          <w:szCs w:val="32"/>
          <w:shd w:val="clear" w:color="auto" w:fill="FFFFFF"/>
          <w:lang w:val="en-US" w:eastAsia="zh-CN"/>
        </w:rPr>
        <w:t>感谢您对我市商务事业的关心和支持。</w:t>
      </w:r>
    </w:p>
    <w:p w14:paraId="58DE8C4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cs="Times New Roman"/>
          <w:szCs w:val="32"/>
          <w:shd w:val="clear" w:color="auto" w:fill="FFFFFF"/>
          <w:lang w:val="en-US" w:eastAsia="zh-CN"/>
        </w:rPr>
      </w:pPr>
    </w:p>
    <w:p w14:paraId="3D9D5D0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after="0" w:line="590" w:lineRule="exact"/>
        <w:ind w:left="0" w:leftChars="0" w:right="0" w:firstLine="0" w:firstLineChars="0"/>
        <w:jc w:val="both"/>
        <w:textAlignment w:val="auto"/>
        <w:rPr>
          <w:rFonts w:hint="eastAsia"/>
          <w:lang w:val="en-US" w:eastAsia="zh-CN"/>
        </w:rPr>
      </w:pPr>
    </w:p>
    <w:p w14:paraId="603CE5F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after="0" w:line="590" w:lineRule="exact"/>
        <w:ind w:left="0" w:leftChars="0" w:right="0" w:firstLine="0" w:firstLineChars="0"/>
        <w:jc w:val="both"/>
        <w:textAlignment w:val="auto"/>
        <w:rPr>
          <w:rFonts w:hint="eastAsia"/>
          <w:lang w:val="en-US" w:eastAsia="zh-CN"/>
        </w:rPr>
      </w:pPr>
    </w:p>
    <w:p w14:paraId="2C0D0F4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5688" w:firstLineChars="1800"/>
        <w:jc w:val="both"/>
        <w:textAlignment w:val="auto"/>
        <w:rPr>
          <w:rFonts w:hint="default" w:ascii="Times New Roman" w:hAnsi="Times New Roman" w:cs="Times New Roman"/>
          <w:snapToGrid/>
          <w:szCs w:val="32"/>
          <w:lang w:eastAsia="zh-CN"/>
        </w:rPr>
      </w:pPr>
      <w:r>
        <w:rPr>
          <w:rFonts w:hint="default" w:ascii="Times New Roman" w:hAnsi="Times New Roman" w:cs="Times New Roman"/>
          <w:snapToGrid/>
          <w:szCs w:val="32"/>
        </w:rPr>
        <w:t>南通市</w:t>
      </w:r>
      <w:r>
        <w:rPr>
          <w:rFonts w:hint="default" w:ascii="Times New Roman" w:hAnsi="Times New Roman" w:cs="Times New Roman"/>
          <w:snapToGrid/>
          <w:szCs w:val="32"/>
          <w:lang w:eastAsia="zh-CN"/>
        </w:rPr>
        <w:t>商务局</w:t>
      </w:r>
    </w:p>
    <w:p w14:paraId="56F0100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5676" w:firstLineChars="1796"/>
        <w:jc w:val="both"/>
        <w:textAlignment w:val="auto"/>
        <w:rPr>
          <w:rFonts w:hint="default" w:ascii="Times New Roman" w:hAnsi="Times New Roman" w:eastAsia="仿宋_GB2312" w:cs="Times New Roman"/>
          <w:snapToGrid/>
          <w:szCs w:val="32"/>
        </w:rPr>
      </w:pPr>
      <w:r>
        <w:rPr>
          <w:rFonts w:hint="default" w:ascii="Times New Roman" w:hAnsi="Times New Roman" w:eastAsia="仿宋_GB2312" w:cs="Times New Roman"/>
          <w:snapToGrid/>
          <w:szCs w:val="32"/>
        </w:rPr>
        <w:t>2024年</w:t>
      </w:r>
      <w:r>
        <w:rPr>
          <w:rFonts w:hint="default" w:ascii="Times New Roman" w:hAnsi="Times New Roman" w:eastAsia="仿宋_GB2312" w:cs="Times New Roman"/>
          <w:snapToGrid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napToGrid/>
          <w:szCs w:val="32"/>
        </w:rPr>
        <w:t>月</w:t>
      </w:r>
      <w:r>
        <w:rPr>
          <w:rFonts w:hint="default" w:ascii="Times New Roman" w:hAnsi="Times New Roman" w:eastAsia="仿宋_GB2312" w:cs="Times New Roman"/>
          <w:snapToGrid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napToGrid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napToGrid/>
          <w:szCs w:val="32"/>
        </w:rPr>
        <w:t>日</w:t>
      </w:r>
    </w:p>
    <w:p w14:paraId="15626D9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right="0" w:firstLine="0"/>
        <w:jc w:val="both"/>
        <w:textAlignment w:val="auto"/>
        <w:rPr>
          <w:rFonts w:hint="default" w:ascii="Times New Roman" w:hAnsi="Times New Roman" w:eastAsia="仿宋_GB2312" w:cs="Times New Roman"/>
          <w:snapToGrid/>
          <w:szCs w:val="32"/>
        </w:rPr>
      </w:pPr>
    </w:p>
    <w:p w14:paraId="502868B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6DF50CF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7465BCF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334BB31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32E4E9B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16BE5E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0B639D6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7B67A0F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594B5EF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联  系  人：</w:t>
      </w:r>
      <w:r>
        <w:rPr>
          <w:rFonts w:hint="default" w:ascii="Times New Roman" w:hAnsi="Times New Roman" w:cs="Times New Roman"/>
          <w:szCs w:val="32"/>
          <w:lang w:eastAsia="zh-CN"/>
        </w:rPr>
        <w:t>羌</w:t>
      </w:r>
      <w:r>
        <w:rPr>
          <w:rFonts w:hint="eastAsia" w:ascii="Times New Roman" w:hAnsi="Times New Roman" w:cs="Times New Roman"/>
          <w:szCs w:val="32"/>
          <w:lang w:val="en-US" w:eastAsia="zh-CN"/>
        </w:rPr>
        <w:t xml:space="preserve">  </w:t>
      </w:r>
      <w:bookmarkStart w:id="20" w:name="_GoBack"/>
      <w:bookmarkEnd w:id="20"/>
      <w:r>
        <w:rPr>
          <w:rFonts w:hint="default" w:ascii="Times New Roman" w:hAnsi="Times New Roman" w:cs="Times New Roman"/>
          <w:szCs w:val="32"/>
          <w:lang w:eastAsia="zh-CN"/>
        </w:rPr>
        <w:t>笑</w:t>
      </w:r>
    </w:p>
    <w:p w14:paraId="47C1A41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  <w:lang w:val="en-US" w:eastAsia="zh-CN"/>
        </w:rPr>
      </w:pPr>
      <w:r>
        <w:rPr>
          <w:rFonts w:hint="default" w:ascii="Times New Roman" w:hAnsi="Times New Roman" w:cs="Times New Roman"/>
          <w:spacing w:val="53"/>
          <w:kern w:val="0"/>
          <w:szCs w:val="32"/>
          <w:fitText w:val="1600" w:id="705460106"/>
        </w:rPr>
        <w:t>联系电</w:t>
      </w:r>
      <w:r>
        <w:rPr>
          <w:rFonts w:hint="default" w:ascii="Times New Roman" w:hAnsi="Times New Roman" w:cs="Times New Roman"/>
          <w:spacing w:val="1"/>
          <w:kern w:val="0"/>
          <w:szCs w:val="32"/>
          <w:fitText w:val="1600" w:id="705460106"/>
        </w:rPr>
        <w:t>话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default" w:ascii="Times New Roman" w:hAnsi="Times New Roman" w:cs="Times New Roman"/>
          <w:szCs w:val="32"/>
          <w:lang w:val="en-US" w:eastAsia="zh-CN"/>
        </w:rPr>
        <w:t>85098729，18012226910</w:t>
      </w:r>
    </w:p>
    <w:p w14:paraId="78AEC6E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0" w:firstLine="0" w:firstLineChars="0"/>
        <w:jc w:val="both"/>
        <w:textAlignment w:val="auto"/>
        <w:rPr>
          <w:rFonts w:hint="eastAsia"/>
          <w:b/>
          <w:sz w:val="44"/>
          <w:szCs w:val="44"/>
          <w:lang w:eastAsia="zh-CN"/>
        </w:rPr>
      </w:pPr>
      <w:r>
        <w:rPr>
          <w:rFonts w:hint="default" w:ascii="Times New Roman" w:hAnsi="Times New Roman" w:cs="Times New Roman"/>
          <w:spacing w:val="480"/>
          <w:kern w:val="0"/>
          <w:szCs w:val="32"/>
          <w:fitText w:val="1600" w:id="1697067188"/>
        </w:rPr>
        <w:t>抄</w:t>
      </w:r>
      <w:r>
        <w:rPr>
          <w:rFonts w:hint="default" w:ascii="Times New Roman" w:hAnsi="Times New Roman" w:cs="Times New Roman"/>
          <w:spacing w:val="0"/>
          <w:kern w:val="0"/>
          <w:szCs w:val="32"/>
          <w:fitText w:val="1600" w:id="1697067188"/>
        </w:rPr>
        <w:t>送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市人大常委会人代委</w:t>
      </w:r>
      <w:r>
        <w:rPr>
          <w:rFonts w:hint="eastAsia" w:asci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、市政府办公室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F4F92">
    <w:pPr>
      <w:pStyle w:val="8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4461E">
    <w:pPr>
      <w:pStyle w:val="8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9ECC8">
    <w:pPr>
      <w:pStyle w:val="19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F6EF3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Cs w:val="32"/>
      </w:rPr>
    </w:pPr>
    <w:r>
      <w:rPr>
        <w:rFonts w:hint="eastAsia" w:ascii="方正黑体_GBK" w:hAnsi="方正黑体_GBK" w:eastAsia="方正黑体_GBK" w:cs="方正黑体_GBK"/>
        <w:szCs w:val="32"/>
      </w:rPr>
      <w:t>A</w:t>
    </w:r>
  </w:p>
  <w:p w14:paraId="2AB7EC29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</w:rPr>
    </w:pPr>
    <w:r>
      <w:rPr>
        <w:rFonts w:hint="eastAsia" w:ascii="方正黑体_GBK" w:hAnsi="方正黑体_GBK" w:eastAsia="方正黑体_GBK" w:cs="方正黑体_GBK"/>
        <w:snapToGrid/>
        <w:sz w:val="30"/>
        <w:szCs w:val="30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1C715E2D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01D134FA"/>
    <w:rsid w:val="1C715E2D"/>
    <w:rsid w:val="1E477FB3"/>
    <w:rsid w:val="1E5063A1"/>
    <w:rsid w:val="24CF4AF4"/>
    <w:rsid w:val="28267917"/>
    <w:rsid w:val="330B5ED8"/>
    <w:rsid w:val="36201528"/>
    <w:rsid w:val="37E6581D"/>
    <w:rsid w:val="39BA2D80"/>
    <w:rsid w:val="3AF31810"/>
    <w:rsid w:val="3B6B264B"/>
    <w:rsid w:val="4440141F"/>
    <w:rsid w:val="721B3607"/>
    <w:rsid w:val="72201EA6"/>
    <w:rsid w:val="783D5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6">
    <w:name w:val="heading 3"/>
    <w:basedOn w:val="1"/>
    <w:next w:val="7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Style w:val="1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7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styleId="10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unhideWhenUsed/>
    <w:qFormat/>
    <w:uiPriority w:val="99"/>
    <w:rPr>
      <w:color w:val="0000FF"/>
      <w:u w:val="single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7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8">
    <w:name w:val="文头"/>
    <w:basedOn w:val="19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9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20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21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22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4</Pages>
  <Words>6</Words>
  <Characters>6</Characters>
  <Lines>1</Lines>
  <Paragraphs>1</Paragraphs>
  <TotalTime>1</TotalTime>
  <ScaleCrop>false</ScaleCrop>
  <LinksUpToDate>false</LinksUpToDate>
  <CharactersWithSpaces>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2024-09-23T06:04:00Z</dcterms:created>
  <dc:creator>翻不完的日历</dc:creator>
  <cp:lastModifiedBy>翻不完的日历</cp:lastModifiedBy>
  <dcterms:modified xsi:type="dcterms:W3CDTF">2024-09-23T06:09:11Z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81449076B7F3478888AC7D91D5ABA13A_11</vt:lpwstr>
  </property>
</Properties>
</file>