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BC2F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742A50F0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626"/>
      <w:bookmarkEnd w:id="0"/>
      <w:bookmarkStart w:id="1" w:name="_1081336766"/>
      <w:bookmarkEnd w:id="1"/>
      <w:bookmarkStart w:id="2" w:name="_988455233"/>
      <w:bookmarkEnd w:id="2"/>
      <w:bookmarkStart w:id="3" w:name="_988455575"/>
      <w:bookmarkEnd w:id="3"/>
      <w:bookmarkStart w:id="4" w:name="_988455645"/>
      <w:bookmarkEnd w:id="4"/>
      <w:bookmarkStart w:id="5" w:name="_988455212"/>
      <w:bookmarkEnd w:id="5"/>
      <w:bookmarkStart w:id="6" w:name="_988456248"/>
      <w:bookmarkEnd w:id="6"/>
      <w:bookmarkStart w:id="7" w:name="_1081335927"/>
      <w:bookmarkEnd w:id="7"/>
      <w:bookmarkStart w:id="8" w:name="_1081336878"/>
      <w:bookmarkEnd w:id="8"/>
      <w:bookmarkStart w:id="9" w:name="_988455599"/>
      <w:bookmarkEnd w:id="9"/>
      <w:bookmarkStart w:id="10" w:name="_1081336779"/>
      <w:bookmarkEnd w:id="10"/>
      <w:bookmarkStart w:id="11" w:name="_988455673"/>
      <w:bookmarkEnd w:id="11"/>
      <w:bookmarkStart w:id="12" w:name="_988455157"/>
      <w:bookmarkEnd w:id="12"/>
      <w:bookmarkStart w:id="13" w:name="_1081336172"/>
      <w:bookmarkEnd w:id="13"/>
      <w:bookmarkStart w:id="14" w:name="_1081336902"/>
      <w:bookmarkEnd w:id="14"/>
      <w:bookmarkStart w:id="15" w:name="_1081336197"/>
      <w:bookmarkEnd w:id="15"/>
      <w:bookmarkStart w:id="16" w:name="_988455526"/>
      <w:bookmarkEnd w:id="16"/>
      <w:bookmarkStart w:id="17" w:name="_1081336852"/>
      <w:bookmarkEnd w:id="17"/>
      <w:bookmarkStart w:id="18" w:name="_1081336936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0A3D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</w:p>
    <w:p w14:paraId="78B16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snapToGrid/>
          <w:spacing w:val="0"/>
          <w:lang w:eastAsia="zh-CN"/>
        </w:rPr>
      </w:pPr>
      <w:r>
        <w:rPr>
          <w:rFonts w:hint="default" w:ascii="Times New Roman" w:hAnsi="Times New Roman" w:eastAsia="方正仿宋_GBK" w:cs="Times New Roman"/>
          <w:spacing w:val="0"/>
          <w:kern w:val="32"/>
          <w:sz w:val="32"/>
          <w:szCs w:val="32"/>
          <w:lang w:eastAsia="zh-CN"/>
        </w:rPr>
        <w:t>通商复字</w:t>
      </w:r>
      <w:r>
        <w:rPr>
          <w:rFonts w:hint="default" w:ascii="Times New Roman" w:hAnsi="Times New Roman" w:eastAsia="方正仿宋_GBK" w:cs="Times New Roman"/>
          <w:spacing w:val="0"/>
          <w:kern w:val="32"/>
          <w:sz w:val="32"/>
          <w:szCs w:val="32"/>
        </w:rPr>
        <w:t>﹝202</w:t>
      </w:r>
      <w:r>
        <w:rPr>
          <w:rFonts w:hint="default" w:ascii="Times New Roman" w:hAnsi="Times New Roman" w:eastAsia="方正仿宋_GBK" w:cs="Times New Roman"/>
          <w:spacing w:val="0"/>
          <w:kern w:val="32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pacing w:val="0"/>
          <w:kern w:val="32"/>
          <w:sz w:val="32"/>
          <w:szCs w:val="32"/>
        </w:rPr>
        <w:t>﹞</w:t>
      </w:r>
      <w:r>
        <w:rPr>
          <w:rFonts w:hint="eastAsia" w:ascii="Times New Roman" w:hAnsi="Times New Roman" w:cs="Times New Roman"/>
          <w:spacing w:val="0"/>
          <w:kern w:val="32"/>
          <w:sz w:val="32"/>
          <w:szCs w:val="32"/>
          <w:lang w:val="en-US" w:eastAsia="zh-CN"/>
        </w:rPr>
        <w:t>58</w:t>
      </w:r>
      <w:r>
        <w:rPr>
          <w:rFonts w:hint="default" w:ascii="Times New Roman" w:hAnsi="Times New Roman" w:eastAsia="方正仿宋_GBK" w:cs="Times New Roman"/>
          <w:spacing w:val="0"/>
          <w:kern w:val="32"/>
          <w:sz w:val="32"/>
          <w:szCs w:val="32"/>
        </w:rPr>
        <w:t xml:space="preserve">号     </w:t>
      </w:r>
      <w:r>
        <w:rPr>
          <w:rFonts w:hint="eastAsia" w:ascii="Times New Roman" w:hAnsi="Times New Roman" w:cs="Times New Roman"/>
          <w:spacing w:val="0"/>
          <w:kern w:val="3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pacing w:val="0"/>
          <w:kern w:val="32"/>
          <w:sz w:val="32"/>
          <w:szCs w:val="32"/>
        </w:rPr>
        <w:t xml:space="preserve">           签发人：</w:t>
      </w:r>
      <w:r>
        <w:rPr>
          <w:rFonts w:hint="eastAsia" w:ascii="方正楷体_GBK" w:hAnsi="方正楷体_GBK" w:eastAsia="方正楷体_GBK" w:cs="方正楷体_GBK"/>
          <w:spacing w:val="0"/>
          <w:kern w:val="32"/>
          <w:sz w:val="32"/>
          <w:szCs w:val="32"/>
          <w:lang w:eastAsia="zh-CN"/>
        </w:rPr>
        <w:t>高洪军</w:t>
      </w:r>
    </w:p>
    <w:p w14:paraId="13CC3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ascii="Times New Roman"/>
          <w:snapToGrid/>
          <w:spacing w:val="0"/>
        </w:rPr>
      </w:pPr>
    </w:p>
    <w:p w14:paraId="6E57C435">
      <w:pPr>
        <w:keepNext w:val="0"/>
        <w:keepLines w:val="0"/>
        <w:pageBreakBefore w:val="0"/>
        <w:widowControl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center"/>
        <w:textAlignment w:val="auto"/>
        <w:rPr>
          <w:rFonts w:hint="eastAsia" w:ascii="方正大标宋简体" w:hAnsi="方正大标宋简体" w:eastAsia="方正大标宋简体" w:cs="方正大标宋简体"/>
          <w:snapToGrid/>
          <w:spacing w:val="0"/>
          <w:sz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napToGrid/>
          <w:spacing w:val="0"/>
          <w:sz w:val="44"/>
        </w:rPr>
        <w:t>对市十六届人大</w:t>
      </w:r>
      <w:r>
        <w:rPr>
          <w:rFonts w:hint="eastAsia" w:ascii="方正大标宋简体" w:hAnsi="方正大标宋简体" w:eastAsia="方正大标宋简体" w:cs="方正大标宋简体"/>
          <w:snapToGrid/>
          <w:spacing w:val="0"/>
          <w:sz w:val="44"/>
          <w:lang w:eastAsia="zh-CN"/>
        </w:rPr>
        <w:t>四</w:t>
      </w:r>
      <w:r>
        <w:rPr>
          <w:rFonts w:hint="eastAsia" w:ascii="方正大标宋简体" w:hAnsi="方正大标宋简体" w:eastAsia="方正大标宋简体" w:cs="方正大标宋简体"/>
          <w:snapToGrid/>
          <w:spacing w:val="0"/>
          <w:sz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napToGrid/>
          <w:spacing w:val="0"/>
          <w:sz w:val="44"/>
          <w:lang w:val="en-US" w:eastAsia="zh-CN"/>
        </w:rPr>
        <w:t>339</w:t>
      </w:r>
      <w:r>
        <w:rPr>
          <w:rFonts w:hint="eastAsia" w:ascii="方正大标宋简体" w:hAnsi="方正大标宋简体" w:eastAsia="方正大标宋简体" w:cs="方正大标宋简体"/>
          <w:snapToGrid/>
          <w:spacing w:val="0"/>
          <w:sz w:val="44"/>
        </w:rPr>
        <w:t>号建议的答复</w:t>
      </w:r>
    </w:p>
    <w:p w14:paraId="77F8B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napToGrid/>
          <w:spacing w:val="0"/>
        </w:rPr>
      </w:pPr>
    </w:p>
    <w:p w14:paraId="6AC21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  <w:r>
        <w:rPr>
          <w:rFonts w:hint="eastAsia" w:ascii="Times New Roman" w:cs="Times New Roman"/>
          <w:snapToGrid/>
          <w:spacing w:val="0"/>
          <w:szCs w:val="32"/>
          <w:lang w:eastAsia="zh-CN"/>
        </w:rPr>
        <w:t>刘小飞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代表：</w:t>
      </w:r>
    </w:p>
    <w:p w14:paraId="4703A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您提出的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关于农产品电商直播行业发展的建议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收悉，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我局高度重视，在综合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人力资源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社会保障局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团市委会办意见基础上，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答复如下：</w:t>
      </w:r>
    </w:p>
    <w:p w14:paraId="1F5EA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val="en-US" w:eastAsia="zh-CN"/>
        </w:rPr>
        <w:t>近年来，市商务局联合</w:t>
      </w:r>
      <w:r>
        <w:rPr>
          <w:rFonts w:hint="eastAsia" w:ascii="Times New Roman" w:cs="Times New Roman"/>
          <w:snapToGrid/>
          <w:spacing w:val="0"/>
          <w:kern w:val="0"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val="en-US" w:eastAsia="zh-CN"/>
        </w:rPr>
        <w:t>部门深入落实乡村振兴战略实施规划，结合我市农业产业特色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，在提升农产品质量安全和品牌效益、搭建多元化电子商务平台和渠道、完善农产品运输环节和物流体系、培育农村电商人才队伍和直播基地等方面扎实推进，以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互联网+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农产品出村进城和农产品电子商务为手段，有效盘活和延伸了各地农产品生产销售的产业链条，有力推进了直播带货行业的发展，促进了农村经济繁荣和农民增产增收。202</w:t>
      </w:r>
      <w:r>
        <w:rPr>
          <w:rFonts w:hint="eastAsia" w:ascii="Times New Roman" w:cs="Times New Roman"/>
          <w:snapToGrid/>
          <w:spacing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cs="Times New Roman"/>
          <w:snapToGrid/>
          <w:spacing w:val="0"/>
          <w:kern w:val="0"/>
          <w:sz w:val="32"/>
          <w:szCs w:val="32"/>
          <w:lang w:val="en-US" w:eastAsia="zh-CN"/>
        </w:rPr>
        <w:t>全市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实现农村网络零售额</w:t>
      </w:r>
      <w:r>
        <w:rPr>
          <w:rFonts w:hint="eastAsia" w:ascii="Times New Roman" w:cs="Times New Roman"/>
          <w:spacing w:val="0"/>
          <w:sz w:val="32"/>
          <w:szCs w:val="32"/>
          <w:lang w:val="en-US" w:eastAsia="zh-CN"/>
        </w:rPr>
        <w:t>188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亿元，</w:t>
      </w:r>
      <w:r>
        <w:rPr>
          <w:rFonts w:hint="eastAsia" w:ascii="Times New Roman" w:cs="Times New Roman"/>
          <w:spacing w:val="0"/>
          <w:sz w:val="32"/>
          <w:szCs w:val="32"/>
          <w:lang w:val="en-US" w:eastAsia="zh-CN"/>
        </w:rPr>
        <w:t>同比增长17.7%。其中，农产品网络零售额17.5亿元，同比增长23.7%。</w:t>
      </w:r>
    </w:p>
    <w:p w14:paraId="35283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黑体" w:hAnsi="黑体" w:eastAsia="黑体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/>
          <w:spacing w:val="0"/>
          <w:sz w:val="32"/>
          <w:szCs w:val="32"/>
          <w:shd w:val="clear" w:color="auto" w:fill="FFFFFF"/>
        </w:rPr>
        <w:t>一、推动</w:t>
      </w:r>
      <w:r>
        <w:rPr>
          <w:rFonts w:hint="eastAsia" w:ascii="黑体" w:hAnsi="黑体" w:eastAsia="黑体"/>
          <w:spacing w:val="0"/>
          <w:sz w:val="32"/>
          <w:szCs w:val="32"/>
          <w:shd w:val="clear" w:color="auto" w:fill="FFFFFF"/>
          <w:lang w:eastAsia="zh-CN"/>
        </w:rPr>
        <w:t>农产品直播</w:t>
      </w:r>
      <w:r>
        <w:rPr>
          <w:rFonts w:hint="eastAsia" w:ascii="黑体" w:hAnsi="黑体" w:eastAsia="黑体"/>
          <w:spacing w:val="0"/>
          <w:sz w:val="32"/>
          <w:szCs w:val="32"/>
          <w:shd w:val="clear" w:color="auto" w:fill="FFFFFF"/>
        </w:rPr>
        <w:t>发展</w:t>
      </w:r>
      <w:r>
        <w:rPr>
          <w:rFonts w:hint="eastAsia" w:ascii="黑体" w:hAnsi="黑体" w:eastAsia="黑体"/>
          <w:spacing w:val="0"/>
          <w:sz w:val="32"/>
          <w:szCs w:val="32"/>
          <w:shd w:val="clear" w:color="auto" w:fill="FFFFFF"/>
          <w:lang w:eastAsia="zh-CN"/>
        </w:rPr>
        <w:t>的相关工作</w:t>
      </w:r>
    </w:p>
    <w:p w14:paraId="4E1E2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做优公共服务</w:t>
      </w:r>
      <w:r>
        <w:rPr>
          <w:rFonts w:hint="eastAsia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，提升产业能级。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一是加强与电商平台合作。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</w:rPr>
        <w:t>淘宝天猫商家运营中心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进驻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</w:rPr>
        <w:t>南通，4家淘宝直播基地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先后落户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pacing w:val="0"/>
          <w:sz w:val="32"/>
          <w:szCs w:val="32"/>
        </w:rPr>
        <w:t>快手与南通家纺产业园达成深度合作，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落地城市选品中心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抖音承办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</w:rPr>
        <w:t>2023南通直播节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活动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pacing w:val="0"/>
          <w:sz w:val="32"/>
          <w:szCs w:val="32"/>
        </w:rPr>
        <w:t>支持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pacing w:val="0"/>
          <w:sz w:val="32"/>
          <w:szCs w:val="32"/>
        </w:rPr>
        <w:t>91家纺网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”</w:t>
      </w:r>
      <w:r>
        <w:rPr>
          <w:rFonts w:ascii="Times New Roman" w:hAnsi="Times New Roman" w:eastAsia="方正仿宋_GBK" w:cs="Times New Roman"/>
          <w:spacing w:val="0"/>
          <w:sz w:val="32"/>
          <w:szCs w:val="32"/>
        </w:rPr>
        <w:t>、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pacing w:val="0"/>
          <w:sz w:val="32"/>
          <w:szCs w:val="32"/>
        </w:rPr>
        <w:t>找家纺网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等一批南通本土垂直电商平台</w:t>
      </w:r>
      <w:r>
        <w:rPr>
          <w:rFonts w:ascii="Times New Roman" w:hAnsi="Times New Roman" w:eastAsia="方正仿宋_GBK" w:cs="Times New Roman"/>
          <w:spacing w:val="0"/>
          <w:sz w:val="32"/>
          <w:szCs w:val="32"/>
        </w:rPr>
        <w:t>做大规模，</w:t>
      </w:r>
      <w:r>
        <w:rPr>
          <w:rFonts w:hint="default" w:ascii="Times New Roman" w:hAnsi="Times New Roman" w:eastAsia="方正仿宋_GBK" w:cs="Times New Roman"/>
          <w:spacing w:val="0"/>
          <w:kern w:val="1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pacing w:val="0"/>
          <w:kern w:val="1"/>
          <w:sz w:val="32"/>
          <w:szCs w:val="32"/>
          <w:lang w:val="en-US" w:eastAsia="zh-CN"/>
        </w:rPr>
        <w:t>均带动</w:t>
      </w:r>
      <w:r>
        <w:rPr>
          <w:rFonts w:hint="default" w:ascii="Times New Roman" w:hAnsi="Times New Roman" w:eastAsia="方正仿宋_GBK" w:cs="Times New Roman"/>
          <w:spacing w:val="0"/>
          <w:kern w:val="1"/>
          <w:sz w:val="32"/>
          <w:szCs w:val="32"/>
          <w:lang w:val="en-US" w:eastAsia="zh-CN"/>
        </w:rPr>
        <w:t>交易额超50亿元。</w:t>
      </w:r>
      <w:r>
        <w:rPr>
          <w:rFonts w:hint="eastAsia" w:ascii="Times New Roman" w:hAnsi="Times New Roman" w:cs="Times New Roman"/>
          <w:spacing w:val="0"/>
          <w:kern w:val="1"/>
          <w:sz w:val="32"/>
          <w:szCs w:val="32"/>
          <w:lang w:val="en-US" w:eastAsia="zh-CN"/>
        </w:rPr>
        <w:t>二是打造区域公共品牌。</w:t>
      </w:r>
      <w:r>
        <w:rPr>
          <w:rFonts w:hint="eastAsia"/>
          <w:spacing w:val="0"/>
          <w:szCs w:val="32"/>
        </w:rPr>
        <w:t>培育了以</w:t>
      </w:r>
      <w:r>
        <w:rPr>
          <w:rFonts w:hint="eastAsia"/>
          <w:spacing w:val="0"/>
          <w:szCs w:val="32"/>
          <w:lang w:eastAsia="zh-CN"/>
        </w:rPr>
        <w:t>“</w:t>
      </w:r>
      <w:r>
        <w:rPr>
          <w:rFonts w:hint="eastAsia"/>
          <w:spacing w:val="0"/>
          <w:szCs w:val="32"/>
        </w:rPr>
        <w:t>海之门</w:t>
      </w:r>
      <w:r>
        <w:rPr>
          <w:rFonts w:hint="eastAsia"/>
          <w:spacing w:val="0"/>
          <w:szCs w:val="32"/>
          <w:lang w:eastAsia="zh-CN"/>
        </w:rPr>
        <w:t>”“</w:t>
      </w:r>
      <w:r>
        <w:rPr>
          <w:rFonts w:hint="eastAsia"/>
          <w:spacing w:val="0"/>
          <w:szCs w:val="32"/>
        </w:rPr>
        <w:t>如意东方</w:t>
      </w:r>
      <w:r>
        <w:rPr>
          <w:rFonts w:hint="eastAsia"/>
          <w:spacing w:val="0"/>
          <w:szCs w:val="32"/>
          <w:lang w:eastAsia="zh-CN"/>
        </w:rPr>
        <w:t>”“</w:t>
      </w:r>
      <w:r>
        <w:rPr>
          <w:rFonts w:hint="eastAsia"/>
          <w:spacing w:val="0"/>
          <w:szCs w:val="32"/>
        </w:rPr>
        <w:t>苏皋长寿</w:t>
      </w:r>
      <w:r>
        <w:rPr>
          <w:rFonts w:hint="eastAsia"/>
          <w:spacing w:val="0"/>
          <w:szCs w:val="32"/>
          <w:lang w:eastAsia="zh-CN"/>
        </w:rPr>
        <w:t>”“</w:t>
      </w:r>
      <w:r>
        <w:rPr>
          <w:rFonts w:hint="eastAsia"/>
          <w:spacing w:val="0"/>
          <w:szCs w:val="32"/>
        </w:rPr>
        <w:t>寻味海安</w:t>
      </w:r>
      <w:r>
        <w:rPr>
          <w:rFonts w:hint="eastAsia"/>
          <w:spacing w:val="0"/>
          <w:szCs w:val="32"/>
          <w:lang w:eastAsia="zh-CN"/>
        </w:rPr>
        <w:t>”</w:t>
      </w:r>
      <w:r>
        <w:rPr>
          <w:rFonts w:hint="eastAsia"/>
          <w:spacing w:val="0"/>
          <w:szCs w:val="32"/>
        </w:rPr>
        <w:t>为代表的一批区域</w:t>
      </w:r>
      <w:r>
        <w:rPr>
          <w:rFonts w:hint="eastAsia"/>
          <w:spacing w:val="0"/>
          <w:szCs w:val="32"/>
          <w:lang w:eastAsia="zh-CN"/>
        </w:rPr>
        <w:t>电商</w:t>
      </w:r>
      <w:r>
        <w:rPr>
          <w:rFonts w:hint="eastAsia"/>
          <w:spacing w:val="0"/>
          <w:szCs w:val="32"/>
        </w:rPr>
        <w:t>公共品牌，</w:t>
      </w:r>
      <w:r>
        <w:rPr>
          <w:rFonts w:hint="eastAsia"/>
          <w:spacing w:val="0"/>
          <w:szCs w:val="32"/>
          <w:lang w:eastAsia="zh-CN"/>
        </w:rPr>
        <w:t>开设抖音号、直播号，促进农产品线上消费。三是</w:t>
      </w:r>
      <w:r>
        <w:rPr>
          <w:rFonts w:hint="eastAsia"/>
          <w:spacing w:val="0"/>
          <w:szCs w:val="32"/>
        </w:rPr>
        <w:t>连续两年举办跨境电商选品博览会，帮助南通供应链企业对接国内外优质平台、采购商、服务商等资源。</w:t>
      </w:r>
    </w:p>
    <w:p w14:paraId="11506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楷体_GB2312" w:cs="Times New Roman"/>
          <w:snapToGrid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eastAsia="方正楷体_GBK" w:cs="Times New Roman"/>
          <w:snapToGrid/>
          <w:spacing w:val="0"/>
          <w:kern w:val="0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方正楷体_GBK" w:cs="Times New Roman"/>
          <w:snapToGrid/>
          <w:spacing w:val="0"/>
          <w:kern w:val="0"/>
          <w:sz w:val="32"/>
          <w:szCs w:val="32"/>
          <w:lang w:val="en-US" w:eastAsia="zh-CN"/>
        </w:rPr>
        <w:t>支持基地建设，完善配套服务。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一是以电商进农村综合示范项目为抓手，指导海门、如东、如皋、海安建成县级电商公共服务中心，做优视频拍摄、选品指导、运营扶持、主播培训等基础直播配套服务，让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直播带货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渠道下沉，更加贴近农业农村。二是支持纤意坊、斜杠广场、东部家具城等一批直播基地建设，招引优质MCN机构、头部带货达人来通，助推南通优质农产品触网上行。三是加大考核力度，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</w:rPr>
        <w:t>推动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eastAsia="zh-CN"/>
        </w:rPr>
        <w:t>直播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eastAsia="zh-CN"/>
        </w:rPr>
        <w:t>基地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eastAsia="zh-CN"/>
        </w:rPr>
        <w:t>建设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eastAsia="zh-CN"/>
        </w:rPr>
        <w:t>提质扩容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，实现了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直播基地在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各县（市）区全覆盖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，构建起全市服务一张网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。</w:t>
      </w:r>
    </w:p>
    <w:p w14:paraId="698F5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eastAsia="方正楷体_GBK" w:cs="Times New Roman"/>
          <w:snapToGrid/>
          <w:spacing w:val="0"/>
          <w:kern w:val="0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楷体_GBK" w:cs="Times New Roman"/>
          <w:snapToGrid/>
          <w:spacing w:val="0"/>
          <w:kern w:val="0"/>
          <w:sz w:val="32"/>
          <w:szCs w:val="32"/>
          <w:lang w:val="en-US" w:eastAsia="zh-CN"/>
        </w:rPr>
        <w:t>培育专业人才，壮大从业主体。</w:t>
      </w:r>
      <w:r>
        <w:rPr>
          <w:rFonts w:hint="default" w:ascii="Times New Roman" w:hAnsi="Times New Roman" w:cs="Times New Roman"/>
          <w:snapToGrid/>
          <w:spacing w:val="0"/>
          <w:kern w:val="0"/>
          <w:sz w:val="32"/>
          <w:szCs w:val="32"/>
          <w:lang w:val="en-US" w:eastAsia="zh-CN"/>
        </w:rPr>
        <w:t>一是加快直播专业建设。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发挥技工院校培训主阵地作用，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鼓励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发展与直播行业相关的专业。深入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校企合作，搭建校企合作平台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。二是组织职业技能培训。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多部门联动，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举办直播技能提升班、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电商职业技能竞赛和岗位练兵活动，对获奖选手授予</w:t>
      </w:r>
      <w:r>
        <w:rPr>
          <w:rFonts w:hint="eastAsia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南通市技术能手</w:t>
      </w:r>
      <w:r>
        <w:rPr>
          <w:rFonts w:hint="eastAsia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  <w:lang w:val="en-US" w:eastAsia="zh-CN"/>
        </w:rPr>
        <w:t>等荣誉称号，进一步激发直播从业人员工作热情</w:t>
      </w:r>
      <w:r>
        <w:rPr>
          <w:rFonts w:hint="default" w:ascii="Times New Roman" w:hAnsi="Times New Roman" w:cs="Times New Roman"/>
          <w:bCs/>
          <w:color w:val="0D0D0D"/>
          <w:spacing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cs="Times New Roman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cs="Times New Roman"/>
          <w:spacing w:val="0"/>
          <w:sz w:val="32"/>
          <w:szCs w:val="32"/>
          <w:lang w:val="en-US" w:eastAsia="zh-CN"/>
        </w:rPr>
        <w:t>全市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培训直播电商人才</w:t>
      </w:r>
      <w:r>
        <w:rPr>
          <w:rFonts w:hint="eastAsia" w:ascii="Times New Roman" w:cs="Times New Roman"/>
          <w:spacing w:val="0"/>
          <w:sz w:val="32"/>
          <w:szCs w:val="32"/>
          <w:lang w:val="en-US" w:eastAsia="zh-CN"/>
        </w:rPr>
        <w:t>近万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人次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。三是举办直播电商大赛。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指导支持如东</w:t>
      </w:r>
      <w:r>
        <w:rPr>
          <w:rFonts w:hint="eastAsia" w:ascii="Times New Roman" w:cs="Times New Roman"/>
          <w:spacing w:val="0"/>
          <w:sz w:val="32"/>
          <w:szCs w:val="32"/>
          <w:lang w:val="en-US" w:eastAsia="zh-CN"/>
        </w:rPr>
        <w:t>、如皋等地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开展直播电商大赛，挖掘推荐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优秀主播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参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加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全省直播电商大赛。</w:t>
      </w:r>
    </w:p>
    <w:p w14:paraId="66BF4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黑体_GBK" w:hAnsi="方正黑体_GBK" w:eastAsia="方正小标宋_GBK" w:cs="方正黑体_GBK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Times New Roman"/>
          <w:spacing w:val="0"/>
          <w:sz w:val="32"/>
          <w:szCs w:val="32"/>
          <w:shd w:val="clear" w:color="auto" w:fill="FFFFFF"/>
          <w:lang w:eastAsia="zh-CN"/>
        </w:rPr>
        <w:t>二、下一步打算</w:t>
      </w:r>
    </w:p>
    <w:p w14:paraId="4C430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632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D0D0D"/>
          <w:spacing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市商务局将联合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市级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财政、人社等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单位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，从示范引领、融合发展、人才培育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三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个方面持续发力，</w:t>
      </w:r>
      <w:r>
        <w:rPr>
          <w:rFonts w:hint="default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助力南通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农产品</w:t>
      </w:r>
      <w:r>
        <w:rPr>
          <w:rFonts w:hint="default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直播电商跨越式发展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。</w:t>
      </w:r>
    </w:p>
    <w:p w14:paraId="26B1C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方正楷体_GBK" w:hAnsi="仿宋_GB2312" w:eastAsia="方正楷体_GBK" w:cs="仿宋_GB2312"/>
          <w:bCs/>
          <w:color w:val="0D0D0D"/>
          <w:spacing w:val="0"/>
          <w:sz w:val="32"/>
          <w:szCs w:val="32"/>
          <w:lang w:val="en-US" w:eastAsia="zh-CN"/>
        </w:rPr>
        <w:t>（一）</w:t>
      </w:r>
      <w:r>
        <w:rPr>
          <w:rFonts w:hint="eastAsia" w:ascii="方正楷体_GBK" w:hAnsi="仿宋_GB2312" w:eastAsia="方正楷体_GBK" w:cs="仿宋_GB2312"/>
          <w:bCs/>
          <w:color w:val="0D0D0D"/>
          <w:spacing w:val="0"/>
          <w:sz w:val="32"/>
          <w:szCs w:val="32"/>
        </w:rPr>
        <w:t>抓基地示范，加强基础设施建设。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以推进国家级电子商务进农村综合示范县创建工作为抓手，完善直播产业基础配套设施。支持条件成熟的直播基地申报省级电商示范基地，鼓励各类市场主体参与直播电商基地建设，认定一批主题鲜明、特色突出、示范性强的市级直播电商基地，支持直播基地（园区）开展跨区域合作。吸引优质直播电商平台、MCN机构、专业服务机构等入驻，提供定制化服务，鼓励各类孵化器培育孵化直播类企业。</w:t>
      </w:r>
    </w:p>
    <w:p w14:paraId="29DA7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方正楷体_GBK" w:hAnsi="仿宋_GB2312" w:eastAsia="方正楷体_GBK" w:cs="仿宋_GB2312"/>
          <w:bCs/>
          <w:color w:val="0D0D0D"/>
          <w:spacing w:val="0"/>
          <w:sz w:val="32"/>
          <w:szCs w:val="32"/>
          <w:lang w:val="en-US" w:eastAsia="zh-CN"/>
        </w:rPr>
        <w:t>（二）抓融合发展，提升配套服务能级。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鼓励和支持大型电商平台参与农村电商配套设施建设，完善功能服务，促进农村消费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。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加强平台政策倾斜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，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对省内头部平台企业进行统筹，分地区、产业开展对接活动，提升平台赋能乡村产业的效能。加大对平台建设的资金扶持，帮助解决平台搭建过程</w:t>
      </w:r>
      <w:r>
        <w:rPr>
          <w:rFonts w:hint="eastAsia" w:ascii="Times New Roman" w:hAnsi="Times New Roman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中</w:t>
      </w:r>
      <w:r>
        <w:rPr>
          <w:rFonts w:hint="eastAsia" w:ascii="Times New Roman" w:hAnsi="Times New Roman" w:eastAsia="方正仿宋_GBK" w:cs="Times New Roman"/>
          <w:snapToGrid w:val="0"/>
          <w:spacing w:val="0"/>
          <w:sz w:val="32"/>
          <w:szCs w:val="32"/>
          <w:u w:val="none"/>
          <w:shd w:val="clear" w:color="auto" w:fill="auto"/>
          <w:lang w:val="en-US" w:eastAsia="zh-CN" w:bidi="ar-SA"/>
        </w:rPr>
        <w:t>的困难。</w:t>
      </w:r>
    </w:p>
    <w:p w14:paraId="4A0E2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</w:pPr>
      <w:r>
        <w:rPr>
          <w:rFonts w:hint="eastAsia" w:ascii="方正楷体_GBK" w:hAnsi="仿宋_GB2312" w:eastAsia="方正楷体_GBK" w:cs="仿宋_GB2312"/>
          <w:bCs/>
          <w:color w:val="0D0D0D"/>
          <w:spacing w:val="0"/>
          <w:sz w:val="32"/>
          <w:szCs w:val="32"/>
          <w:lang w:eastAsia="zh-CN"/>
        </w:rPr>
        <w:t>（三）</w:t>
      </w:r>
      <w:r>
        <w:rPr>
          <w:rFonts w:hint="eastAsia" w:ascii="方正楷体_GBK" w:hAnsi="仿宋_GB2312" w:eastAsia="方正楷体_GBK" w:cs="仿宋_GB2312"/>
          <w:bCs/>
          <w:color w:val="0D0D0D"/>
          <w:spacing w:val="0"/>
          <w:sz w:val="32"/>
          <w:szCs w:val="32"/>
        </w:rPr>
        <w:t>抓人才培养，增强产业发展后劲。</w:t>
      </w:r>
      <w:r>
        <w:rPr>
          <w:rFonts w:hint="default" w:ascii="Times New Roman" w:hAnsi="Times New Roman" w:eastAsia="方正仿宋_GBK" w:cs="Times New Roman"/>
          <w:bCs/>
          <w:color w:val="0D0D0D"/>
          <w:spacing w:val="0"/>
          <w:sz w:val="32"/>
          <w:szCs w:val="32"/>
        </w:rPr>
        <w:t>积极引进和培养直播电商高端人才，打造直播电商人才集聚高地。探索以基地（园区）为载体，培训储备直播电商人才。鼓励本地高校加强直播电商研究，开展直播电商基础人才培训，培养直播专业服务、技术应用和供应链管理人才。积极引导直播电商平台与专业院校、专业培训机构、技术研发机构合作，为商户开展直播、短视频制作、专业引流、直播技术应用等培训。充分利用行业协会和其他社会机构资源开展人才培训和业务指导，构建起立体化人才培养机制。</w:t>
      </w:r>
    </w:p>
    <w:p w14:paraId="11904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最后，感谢您对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我市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商务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事业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的关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心和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支持，恳请今后继续对商务工作给予批评指导。</w:t>
      </w:r>
    </w:p>
    <w:p w14:paraId="42A21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</w:pPr>
    </w:p>
    <w:p w14:paraId="2C6A7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</w:pPr>
    </w:p>
    <w:p w14:paraId="2176D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</w:pPr>
    </w:p>
    <w:p w14:paraId="2DFF1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napToGrid/>
          <w:spacing w:val="0"/>
          <w:szCs w:val="32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南通市商务局</w:t>
      </w:r>
    </w:p>
    <w:p w14:paraId="4916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5878" w:firstLineChars="186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val="en-US" w:eastAsia="zh-CN"/>
        </w:rPr>
        <w:t>202</w:t>
      </w:r>
      <w:r>
        <w:rPr>
          <w:rFonts w:hint="eastAsia" w:ascii="Times New Roman" w:cs="Times New Roman"/>
          <w:snapToGrid/>
          <w:spacing w:val="0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年</w:t>
      </w:r>
      <w:r>
        <w:rPr>
          <w:rFonts w:hint="eastAsia" w:ascii="Times New Roman" w:hAnsi="Times New Roman" w:cs="Times New Roman"/>
          <w:snapToGrid/>
          <w:spacing w:val="0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月</w:t>
      </w:r>
      <w:r>
        <w:rPr>
          <w:rFonts w:hint="eastAsia" w:ascii="Times New Roman" w:hAnsi="Times New Roman" w:cs="Times New Roman"/>
          <w:snapToGrid/>
          <w:spacing w:val="0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日</w:t>
      </w:r>
    </w:p>
    <w:p w14:paraId="240326D7">
      <w:pPr>
        <w:keepNext w:val="0"/>
        <w:keepLines w:val="0"/>
        <w:pageBreakBefore w:val="0"/>
        <w:widowControl w:val="0"/>
        <w:tabs>
          <w:tab w:val="left" w:pos="2127"/>
          <w:tab w:val="left" w:pos="2576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both"/>
        <w:textAlignment w:val="auto"/>
        <w:rPr>
          <w:rFonts w:hint="default" w:ascii="Times New Roman" w:hAnsi="Times New Roman" w:eastAsia="方正仿宋_GBK" w:cs="Times New Roman"/>
          <w:spacing w:val="0"/>
        </w:rPr>
      </w:pPr>
    </w:p>
    <w:p w14:paraId="397B335B">
      <w:pPr>
        <w:keepNext w:val="0"/>
        <w:keepLines w:val="0"/>
        <w:pageBreakBefore w:val="0"/>
        <w:widowControl w:val="0"/>
        <w:tabs>
          <w:tab w:val="left" w:pos="2127"/>
          <w:tab w:val="left" w:pos="2576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both"/>
        <w:textAlignment w:val="auto"/>
        <w:rPr>
          <w:rFonts w:hint="default" w:ascii="Times New Roman" w:hAnsi="Times New Roman" w:eastAsia="方正仿宋_GBK" w:cs="Times New Roman"/>
          <w:spacing w:val="0"/>
        </w:rPr>
      </w:pPr>
    </w:p>
    <w:p w14:paraId="531D9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</w:p>
    <w:p w14:paraId="4A062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</w:p>
    <w:p w14:paraId="5A9D9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</w:p>
    <w:p w14:paraId="6EC45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</w:p>
    <w:p w14:paraId="444F1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</w:p>
    <w:p w14:paraId="31081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联 系 人：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丁</w:t>
      </w:r>
      <w:r>
        <w:rPr>
          <w:rFonts w:hint="eastAsia" w:ascii="Times New Roman" w:hAnsi="Times New Roman" w:cs="Times New Roman"/>
          <w:snapToGrid/>
          <w:spacing w:val="0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eastAsia="zh-CN"/>
        </w:rPr>
        <w:t>磊</w:t>
      </w:r>
    </w:p>
    <w:p w14:paraId="57681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szCs w:val="32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联系电话：</w:t>
      </w:r>
      <w:bookmarkStart w:id="20" w:name="_GoBack"/>
      <w:bookmarkEnd w:id="20"/>
      <w:r>
        <w:rPr>
          <w:rFonts w:hint="default" w:ascii="Times New Roman" w:hAnsi="Times New Roman" w:eastAsia="方正仿宋_GBK" w:cs="Times New Roman"/>
          <w:snapToGrid/>
          <w:spacing w:val="0"/>
          <w:szCs w:val="32"/>
          <w:lang w:val="en-US" w:eastAsia="zh-CN"/>
        </w:rPr>
        <w:t>85115288</w:t>
      </w:r>
    </w:p>
    <w:p w14:paraId="6B5BF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szCs w:val="32"/>
        </w:rPr>
        <w:t>抄    送：</w:t>
      </w:r>
      <w:r>
        <w:rPr>
          <w:rFonts w:hint="eastAsia" w:ascii="Times New Roman" w:cs="Times New Roman"/>
          <w:snapToGrid/>
          <w:spacing w:val="0"/>
          <w:szCs w:val="32"/>
          <w:lang w:eastAsia="zh-CN"/>
        </w:rPr>
        <w:t>市人大常委会人代委、市政府办公室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汉仪书魂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B5875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B3722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A319C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AFAE3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A</w:t>
    </w:r>
  </w:p>
  <w:p w14:paraId="2A9AF4D9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5787393C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10CE73AF"/>
    <w:rsid w:val="1E5063A1"/>
    <w:rsid w:val="1FE70A63"/>
    <w:rsid w:val="28267917"/>
    <w:rsid w:val="330B5ED8"/>
    <w:rsid w:val="36201528"/>
    <w:rsid w:val="37E6581D"/>
    <w:rsid w:val="386C12AB"/>
    <w:rsid w:val="39BA2D80"/>
    <w:rsid w:val="3B6B264B"/>
    <w:rsid w:val="4440141F"/>
    <w:rsid w:val="5787393C"/>
    <w:rsid w:val="72201EA6"/>
    <w:rsid w:val="76D02273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2024-09-04T02:59:00Z</dcterms:created>
  <dc:creator>翻不完的日历</dc:creator>
  <cp:lastModifiedBy>翻不完的日历</cp:lastModifiedBy>
  <dcterms:modified xsi:type="dcterms:W3CDTF">2024-09-04T03:02:05Z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320FB6029907424B9E8CE99E441FCE50_11</vt:lpwstr>
  </property>
</Properties>
</file>