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9423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before="160" w:after="140" w:line="900" w:lineRule="exact"/>
        <w:textAlignment w:val="auto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710C7E23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after="120" w:line="120" w:lineRule="atLeast"/>
        <w:ind w:left="-57" w:right="-57"/>
        <w:textAlignment w:val="auto"/>
        <w:rPr>
          <w:rFonts w:ascii="宋体"/>
        </w:rPr>
      </w:pPr>
      <w:bookmarkStart w:id="0" w:name="_988455645"/>
      <w:bookmarkEnd w:id="0"/>
      <w:bookmarkStart w:id="1" w:name="_1081336902"/>
      <w:bookmarkEnd w:id="1"/>
      <w:bookmarkStart w:id="2" w:name="_988455233"/>
      <w:bookmarkEnd w:id="2"/>
      <w:bookmarkStart w:id="3" w:name="_1081335927"/>
      <w:bookmarkEnd w:id="3"/>
      <w:bookmarkStart w:id="4" w:name="_988455212"/>
      <w:bookmarkEnd w:id="4"/>
      <w:bookmarkStart w:id="5" w:name="_1081336172"/>
      <w:bookmarkEnd w:id="5"/>
      <w:bookmarkStart w:id="6" w:name="_988455526"/>
      <w:bookmarkEnd w:id="6"/>
      <w:bookmarkStart w:id="7" w:name="_988455599"/>
      <w:bookmarkEnd w:id="7"/>
      <w:bookmarkStart w:id="8" w:name="_988455575"/>
      <w:bookmarkEnd w:id="8"/>
      <w:bookmarkStart w:id="9" w:name="_1081336936"/>
      <w:bookmarkEnd w:id="9"/>
      <w:bookmarkStart w:id="10" w:name="_988455673"/>
      <w:bookmarkEnd w:id="10"/>
      <w:bookmarkStart w:id="11" w:name="_988455626"/>
      <w:bookmarkEnd w:id="11"/>
      <w:bookmarkStart w:id="12" w:name="_1081336197"/>
      <w:bookmarkEnd w:id="12"/>
      <w:bookmarkStart w:id="13" w:name="_1081336779"/>
      <w:bookmarkEnd w:id="13"/>
      <w:bookmarkStart w:id="14" w:name="_1081336878"/>
      <w:bookmarkEnd w:id="14"/>
      <w:bookmarkStart w:id="15" w:name="_1081336766"/>
      <w:bookmarkEnd w:id="15"/>
      <w:bookmarkStart w:id="16" w:name="_988455157"/>
      <w:bookmarkEnd w:id="16"/>
      <w:bookmarkStart w:id="17" w:name="_1081336852"/>
      <w:bookmarkEnd w:id="17"/>
      <w:bookmarkStart w:id="18" w:name="_988456248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1EEEE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right="0" w:firstLine="0" w:firstLineChars="0"/>
        <w:jc w:val="both"/>
        <w:textAlignment w:val="auto"/>
        <w:rPr>
          <w:rFonts w:hint="eastAsia"/>
          <w:b/>
          <w:sz w:val="44"/>
          <w:szCs w:val="44"/>
          <w:lang w:eastAsia="zh-CN"/>
        </w:rPr>
      </w:pPr>
    </w:p>
    <w:p w14:paraId="5AFCA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left="0" w:leftChars="0" w:right="0" w:firstLine="316" w:firstLineChars="100"/>
        <w:jc w:val="both"/>
        <w:textAlignment w:val="auto"/>
        <w:rPr>
          <w:rStyle w:val="20"/>
          <w:rFonts w:hint="eastAsia" w:ascii="Times New Roman" w:hAnsi="Times New Roman" w:eastAsia="方正仿宋_GBK" w:cs="Times New Roman"/>
          <w:color w:val="auto"/>
          <w:szCs w:val="32"/>
          <w:lang w:eastAsia="zh-CN"/>
        </w:rPr>
      </w:pPr>
      <w:r>
        <w:rPr>
          <w:rStyle w:val="20"/>
          <w:rFonts w:hint="default" w:ascii="Times New Roman" w:hAnsi="Times New Roman" w:eastAsia="方正仿宋_GBK" w:cs="Times New Roman"/>
          <w:color w:val="auto"/>
          <w:szCs w:val="32"/>
          <w:lang w:val="en-US" w:eastAsia="zh-CN"/>
        </w:rPr>
        <w:t>通商复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val="en-US" w:eastAsia="zh-CN"/>
        </w:rPr>
        <w:t>字</w:t>
      </w:r>
      <w:r>
        <w:rPr>
          <w:rStyle w:val="20"/>
          <w:rFonts w:hint="default" w:ascii="Times New Roman" w:hAnsi="Times New Roman" w:eastAsia="方正仿宋_GBK" w:cs="Times New Roman"/>
          <w:color w:val="auto"/>
          <w:szCs w:val="32"/>
        </w:rPr>
        <w:t>﹝202</w:t>
      </w:r>
      <w:r>
        <w:rPr>
          <w:rStyle w:val="20"/>
          <w:rFonts w:hint="default" w:ascii="Times New Roman" w:hAnsi="Times New Roman" w:eastAsia="方正仿宋_GBK" w:cs="Times New Roman"/>
          <w:color w:val="auto"/>
          <w:szCs w:val="32"/>
          <w:lang w:val="en-US" w:eastAsia="zh-CN"/>
        </w:rPr>
        <w:t>4</w:t>
      </w:r>
      <w:r>
        <w:rPr>
          <w:rStyle w:val="20"/>
          <w:rFonts w:hint="default" w:ascii="Times New Roman" w:hAnsi="Times New Roman" w:eastAsia="方正仿宋_GBK" w:cs="Times New Roman"/>
          <w:color w:val="auto"/>
          <w:szCs w:val="32"/>
        </w:rPr>
        <w:t>﹞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val="en-US" w:eastAsia="zh-CN"/>
        </w:rPr>
        <w:t>50</w:t>
      </w:r>
      <w:r>
        <w:rPr>
          <w:rStyle w:val="20"/>
          <w:rFonts w:hint="default" w:ascii="Times New Roman" w:hAnsi="Times New Roman" w:eastAsia="方正仿宋_GBK" w:cs="Times New Roman"/>
          <w:color w:val="auto"/>
          <w:szCs w:val="32"/>
        </w:rPr>
        <w:t xml:space="preserve">号             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val="en-US" w:eastAsia="zh-CN"/>
        </w:rPr>
        <w:t xml:space="preserve">  </w:t>
      </w:r>
      <w:r>
        <w:rPr>
          <w:rStyle w:val="20"/>
          <w:rFonts w:hint="default" w:ascii="Times New Roman" w:hAnsi="Times New Roman" w:eastAsia="方正仿宋_GBK" w:cs="Times New Roman"/>
          <w:color w:val="auto"/>
          <w:szCs w:val="32"/>
        </w:rPr>
        <w:t xml:space="preserve">  签发人：</w:t>
      </w:r>
      <w:r>
        <w:rPr>
          <w:rStyle w:val="20"/>
          <w:rFonts w:hint="eastAsia" w:ascii="方正楷体_GBK" w:hAnsi="方正楷体_GBK" w:eastAsia="方正楷体_GBK" w:cs="方正楷体_GBK"/>
          <w:color w:val="auto"/>
          <w:szCs w:val="32"/>
          <w:lang w:eastAsia="zh-CN"/>
        </w:rPr>
        <w:t>高洪军</w:t>
      </w:r>
    </w:p>
    <w:p w14:paraId="66AD3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napToGrid/>
          <w:color w:val="auto"/>
        </w:rPr>
      </w:pPr>
    </w:p>
    <w:p w14:paraId="00470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left="0" w:leftChars="0" w:right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color w:val="auto"/>
          <w:sz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/>
          <w:color w:val="auto"/>
          <w:sz w:val="44"/>
        </w:rPr>
        <w:t>对市十六届人大四次会议第</w:t>
      </w:r>
      <w:r>
        <w:rPr>
          <w:rFonts w:hint="eastAsia" w:ascii="方正小标宋_GBK" w:hAnsi="方正小标宋_GBK" w:eastAsia="方正小标宋_GBK" w:cs="方正小标宋_GBK"/>
          <w:snapToGrid/>
          <w:color w:val="auto"/>
          <w:sz w:val="44"/>
          <w:lang w:val="en-US" w:eastAsia="zh-CN"/>
        </w:rPr>
        <w:t>533</w:t>
      </w:r>
      <w:r>
        <w:rPr>
          <w:rFonts w:hint="eastAsia" w:ascii="方正小标宋_GBK" w:hAnsi="方正小标宋_GBK" w:eastAsia="方正小标宋_GBK" w:cs="方正小标宋_GBK"/>
          <w:snapToGrid/>
          <w:color w:val="auto"/>
          <w:sz w:val="44"/>
        </w:rPr>
        <w:t>号建议的答复</w:t>
      </w:r>
    </w:p>
    <w:p w14:paraId="651F9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right="0" w:firstLine="0" w:firstLineChars="0"/>
        <w:jc w:val="both"/>
        <w:textAlignment w:val="auto"/>
        <w:rPr>
          <w:rFonts w:hint="default" w:ascii="Times New Roman" w:hAnsi="Times New Roman" w:eastAsia="方正大标宋简体" w:cs="Times New Roman"/>
          <w:snapToGrid/>
          <w:color w:val="auto"/>
          <w:sz w:val="44"/>
        </w:rPr>
      </w:pPr>
    </w:p>
    <w:p w14:paraId="35DE4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auto"/>
          <w:szCs w:val="32"/>
        </w:rPr>
      </w:pPr>
      <w:r>
        <w:rPr>
          <w:rFonts w:hint="default" w:ascii="Times New Roman" w:hAnsi="Times New Roman" w:eastAsia="仿宋_GB2312" w:cs="Times New Roman"/>
          <w:snapToGrid/>
          <w:color w:val="auto"/>
          <w:szCs w:val="32"/>
          <w:lang w:eastAsia="zh-CN"/>
        </w:rPr>
        <w:t>王加福代表</w:t>
      </w:r>
      <w:r>
        <w:rPr>
          <w:rFonts w:hint="default" w:ascii="Times New Roman" w:hAnsi="Times New Roman" w:eastAsia="仿宋_GB2312" w:cs="Times New Roman"/>
          <w:snapToGrid/>
          <w:color w:val="auto"/>
          <w:szCs w:val="32"/>
        </w:rPr>
        <w:t>：</w:t>
      </w:r>
    </w:p>
    <w:p w14:paraId="4F0FE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auto"/>
          <w:szCs w:val="32"/>
        </w:rPr>
      </w:pPr>
      <w:r>
        <w:rPr>
          <w:rFonts w:hint="default" w:ascii="Times New Roman" w:hAnsi="Times New Roman" w:eastAsia="方正仿宋_GBK" w:cs="Times New Roman"/>
          <w:snapToGrid/>
          <w:color w:val="auto"/>
          <w:szCs w:val="32"/>
        </w:rPr>
        <w:t>您提出的关于《关于推进南通外贸集聚区建设的建议</w:t>
      </w:r>
      <w:r>
        <w:rPr>
          <w:rFonts w:hint="default" w:ascii="Times New Roman" w:hAnsi="Times New Roman" w:cs="Times New Roman"/>
          <w:snapToGrid/>
          <w:color w:val="auto"/>
          <w:szCs w:val="32"/>
          <w:lang w:eastAsia="zh-CN"/>
        </w:rPr>
        <w:t>》</w:t>
      </w:r>
      <w:r>
        <w:rPr>
          <w:rFonts w:hint="default" w:ascii="Times New Roman" w:hAnsi="Times New Roman" w:eastAsia="方正仿宋_GBK" w:cs="Times New Roman"/>
          <w:snapToGrid/>
          <w:color w:val="auto"/>
          <w:szCs w:val="32"/>
        </w:rPr>
        <w:t>的</w:t>
      </w:r>
      <w:r>
        <w:rPr>
          <w:rFonts w:hint="default" w:ascii="Times New Roman" w:hAnsi="Times New Roman" w:cs="Times New Roman"/>
          <w:snapToGrid/>
          <w:color w:val="auto"/>
          <w:szCs w:val="32"/>
          <w:lang w:eastAsia="zh-CN"/>
        </w:rPr>
        <w:t>建议</w:t>
      </w:r>
      <w:r>
        <w:rPr>
          <w:rFonts w:hint="default" w:ascii="Times New Roman" w:hAnsi="Times New Roman" w:eastAsia="方正仿宋_GBK" w:cs="Times New Roman"/>
          <w:snapToGrid/>
          <w:color w:val="auto"/>
          <w:szCs w:val="32"/>
        </w:rPr>
        <w:t>收悉，现答复如下：</w:t>
      </w:r>
    </w:p>
    <w:p w14:paraId="1F0E4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eastAsia="黑体" w:cs="Times New Roman"/>
          <w:color w:val="auto"/>
          <w:szCs w:val="32"/>
          <w:lang w:eastAsia="zh-CN"/>
        </w:rPr>
      </w:pPr>
      <w:r>
        <w:rPr>
          <w:rStyle w:val="20"/>
          <w:rFonts w:hint="default" w:ascii="Times New Roman" w:hAnsi="Times New Roman" w:eastAsia="黑体" w:cs="Times New Roman"/>
          <w:color w:val="auto"/>
          <w:szCs w:val="32"/>
        </w:rPr>
        <w:t>一、</w:t>
      </w:r>
      <w:r>
        <w:rPr>
          <w:rStyle w:val="20"/>
          <w:rFonts w:hint="default" w:ascii="Times New Roman" w:hAnsi="Times New Roman" w:eastAsia="黑体" w:cs="Times New Roman"/>
          <w:color w:val="auto"/>
          <w:szCs w:val="32"/>
          <w:lang w:eastAsia="zh-CN"/>
        </w:rPr>
        <w:t>南通外贸集聚区建设情况</w:t>
      </w:r>
    </w:p>
    <w:p w14:paraId="751FE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cs="Times New Roman"/>
          <w:color w:val="auto"/>
          <w:szCs w:val="32"/>
        </w:rPr>
        <w:t>南通外贸中心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由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我局与崇川区政府合力打造的江苏省首家外贸集聚区、南通市首批省级优秀跨境电商产业园，东区项目2018年9月正式投入使用。外贸中心打响了功能性主题楼宇品牌，拥有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eastAsia="zh-CN"/>
        </w:rPr>
        <w:t>“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新业态先行先试、外贸业务不出楼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eastAsia="zh-CN"/>
        </w:rPr>
        <w:t>”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的一站式服务体系。园区入驻了中国国际商会南通商会、南通贸促会出证认证中心、南通电子口岸等功能机构；招引了物流、培训、会展等配套企业；由商务牵头，搭建了政银信企、信保统保等金融平台。园区目前入驻企业超200家，入驻企业贸易国别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包括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美国、墨西哥、日本等传统出口目的地国，俄罗斯、马来西亚、越南、沙特等一带一路国家，贸易领域涉及跨境电商、纺织服装、机械设备、体育用品、五金工具、农业、新能源等多个领域。2023年园区全年进出口额32.6亿元人民币，同比增长16%；跨境电商出口额4.5亿元人民币，同比增长125%，是南通市唯一一家实现双增长的外贸集聚区。今年上半年进出口额达17.42亿元人民币，保持了良好的发展态势。</w:t>
      </w:r>
    </w:p>
    <w:p w14:paraId="74780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南通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外贸中心之所以能够形成外贸规模的集聚，成为服务外贸生态和外贸新业态的示范样板，主要原因：</w:t>
      </w:r>
    </w:p>
    <w:p w14:paraId="44538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楷体_GBK" w:cs="Times New Roman"/>
          <w:color w:val="auto"/>
          <w:szCs w:val="32"/>
        </w:rPr>
        <w:t>一是顺应了外贸发展规律。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集聚发展、转型发展、创新发展，抱团发展，共享资源，这些均是外贸流通企业自身发展最根本最迫切的需求。外贸中心的建设和培育，针对性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的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遵循了这种需求，具备了顺势而为的发展理念。</w:t>
      </w:r>
    </w:p>
    <w:p w14:paraId="39082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楷体_GBK" w:cs="Times New Roman"/>
          <w:color w:val="auto"/>
          <w:szCs w:val="32"/>
        </w:rPr>
        <w:t>二是打造了综合服务优势。</w:t>
      </w:r>
      <w:r>
        <w:rPr>
          <w:rStyle w:val="20"/>
          <w:rFonts w:hint="eastAsia" w:ascii="Times New Roman" w:hAnsi="Times New Roman" w:eastAsia="方正楷体_GBK" w:cs="Times New Roman"/>
          <w:color w:val="auto"/>
          <w:szCs w:val="32"/>
          <w:lang w:eastAsia="zh-CN"/>
        </w:rPr>
        <w:t>“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人才引进、市场拓展、政策扶持、专项融资、培训沙龙、行业协会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eastAsia="zh-CN"/>
        </w:rPr>
        <w:t>”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，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这些都为外贸企业的发展提供了良好健康的土壤，外贸中心本身也培育了专业高效的服务团队，为入驻企业提供全天候专业化服务，呼应了我市正全力优化的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eastAsia="zh-CN"/>
        </w:rPr>
        <w:t>“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万事好通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eastAsia="zh-CN"/>
        </w:rPr>
        <w:t>”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营商环境品牌。</w:t>
      </w:r>
    </w:p>
    <w:p w14:paraId="15164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楷体_GBK" w:cs="Times New Roman"/>
          <w:color w:val="auto"/>
          <w:szCs w:val="32"/>
        </w:rPr>
        <w:t>三是形成了良好发展生态。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贸促会（国际商会）、出证认证中心、电子口岸等政务机构，南通数字商务示范中心、南通跨境电商选品中心等平台载体，出海网、全球搜、TikTok等跨境电商服务公司在大楼及园区建立起了一个完备的生态园，极大方便了入驻办公的外贸企业。</w:t>
      </w:r>
    </w:p>
    <w:p w14:paraId="38B18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楷体_GBK" w:cs="Times New Roman"/>
          <w:color w:val="auto"/>
          <w:szCs w:val="32"/>
        </w:rPr>
        <w:t>四是突出了转型创新引领。</w:t>
      </w:r>
      <w:r>
        <w:rPr>
          <w:rStyle w:val="20"/>
          <w:rFonts w:hint="default" w:ascii="Times New Roman" w:hAnsi="Times New Roman" w:eastAsia="方正仿宋_GBK" w:cs="Times New Roman"/>
          <w:color w:val="auto"/>
          <w:szCs w:val="32"/>
          <w:lang w:eastAsia="zh-CN"/>
        </w:rPr>
        <w:t>南通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外贸中心为南通中小外贸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企业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创新转型提供了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eastAsia="zh-CN"/>
        </w:rPr>
        <w:t>“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试验场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eastAsia="zh-CN"/>
        </w:rPr>
        <w:t>”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，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致力于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加速探索跨境电商、加快布局海外仓、探索运用AI数字技术，改变传统的贸易方式，为外贸企业转型升级创新发展起到了赋能提速的作用。</w:t>
      </w:r>
    </w:p>
    <w:p w14:paraId="27C1F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南通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外贸中心西区项目预计今年四季度正式投入使用，西区的面积更大，形象更好，环境更优，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更加适合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打造成一个升级、高质发展的全新样板，在外贸中心东区培育取得初步成效的基础上，更好的适应当前新的形势，继续创造南通外贸中心创新和转型发展新空间，我们将在以下几个方面发力。</w:t>
      </w:r>
    </w:p>
    <w:p w14:paraId="11491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楷体_GBK" w:cs="Times New Roman"/>
          <w:color w:val="auto"/>
          <w:szCs w:val="32"/>
        </w:rPr>
        <w:t>一是突出发展能级进一步提升。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提升定位标准，打造外贸总部大厦、贸易数字大厦、外贸商业街区、外贸人才服务区等业态。以系统思维构建更具吸引力、竞争力、承载力的外贸集聚发展生态，以高标准的营商环境增创发展优势，全力以赴高水平打造全省外贸集聚示范区、高起点打造南通外贸数字化转型先行区、多渠道建设外贸新业态人才培育基地、大力度发展外贸新业态。</w:t>
      </w:r>
    </w:p>
    <w:p w14:paraId="4840B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楷体_GBK" w:cs="Times New Roman"/>
          <w:color w:val="auto"/>
          <w:szCs w:val="32"/>
        </w:rPr>
        <w:t>二是突出服务范围进一步扩大。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借鉴深圳、杭州等先进城市市场化、多元化发展外贸集聚区的实践经验，推动南通外贸集聚区构建完整的产业链和生态体系。引导帮助西区加强与全市外贸特色产业带的交流合作，推动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eastAsia="zh-CN"/>
        </w:rPr>
        <w:t>“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外贸+产业带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eastAsia="zh-CN"/>
        </w:rPr>
        <w:t>”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协同发展，助力全市各板块产业带进一步凝聚合力、规模发展。</w:t>
      </w:r>
    </w:p>
    <w:p w14:paraId="5C6C6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楷体" w:cs="Times New Roman"/>
          <w:color w:val="auto"/>
          <w:szCs w:val="32"/>
        </w:rPr>
        <w:t>三是突出外引内联作用进一步发挥。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强化外贸和跨境电商企业招商。精准面向上海、苏州、杭州等长三角重点城市开展外贸企业招商。市县两级联动制定外贸总部扶持政策，吸引长三角地区外贸企业在通设立贸易公司，做强做大。探索市外贸集团与宁波物流集团、上港集团等合作推进外综服平台、物流体系建设。积极推进中国纺织品进出口商会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设立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中国纺织品外贸供应链共建基地。</w:t>
      </w:r>
    </w:p>
    <w:p w14:paraId="734F6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Style w:val="20"/>
          <w:rFonts w:hint="default" w:ascii="Times New Roman" w:hAnsi="Times New Roman" w:eastAsia="方正楷体_GBK" w:cs="Times New Roman"/>
          <w:color w:val="auto"/>
          <w:szCs w:val="32"/>
        </w:rPr>
        <w:t>四是突出发展生态的进一步打造。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围绕外贸及跨境电商生态的培育，努力吸引全国知名外贸服务机构来通合作或落户，为我市外贸企业提供物流、报关、信保、融资、收汇、退税等专业外贸综合服务，扩大船舶海工出口、大宗商品进口规模。今年9月5日-7日将举办第三届南通跨境电商选品会，积极利用展会机会招引跨境电子商务平台、支付、物流、第三方服务等各类主体落户西区。积极帮助西区探索中间品贸易、贸易数字化业务、服务贸易等新兴业务，增强对企业赋能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。</w:t>
      </w:r>
    </w:p>
    <w:p w14:paraId="5CE68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今后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，我局将立足本职，加大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南通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外贸集聚区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发展的研究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谋划，主动策划前沿的招商和推广活动，主动服务西区与重点产业重点板块的业务联动，汇聚更多合力，创造更佳环境，助力南通外贸中心西区在原有东区基础上取得新的进展。</w:t>
      </w:r>
    </w:p>
    <w:p w14:paraId="2FC0C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eastAsia="黑体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黑体" w:cs="Times New Roman"/>
          <w:color w:val="auto"/>
          <w:szCs w:val="32"/>
        </w:rPr>
        <w:t>二、外贸集团工作进展情况</w:t>
      </w:r>
    </w:p>
    <w:p w14:paraId="09CC5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cs="Times New Roman"/>
          <w:color w:val="auto"/>
          <w:szCs w:val="32"/>
        </w:rPr>
        <w:t>今年6月2日，南通市政府批准成立南通对外贸易有限公司，6月13日领取营业执照，已完成海关备案、税务登记、银行开户等各项注册，部分注入资产已经划转到位。待3家子公司成立后，再组建南通对外贸易集团。</w:t>
      </w:r>
    </w:p>
    <w:p w14:paraId="31CD6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eastAsia="方正楷体_GBK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楷体_GBK" w:cs="Times New Roman"/>
          <w:color w:val="auto"/>
          <w:szCs w:val="32"/>
          <w:lang w:eastAsia="zh-CN"/>
        </w:rPr>
        <w:t>（一）</w:t>
      </w:r>
      <w:r>
        <w:rPr>
          <w:rStyle w:val="20"/>
          <w:rFonts w:hint="default" w:ascii="Times New Roman" w:hAnsi="Times New Roman" w:eastAsia="方正楷体_GBK" w:cs="Times New Roman"/>
          <w:color w:val="auto"/>
          <w:szCs w:val="32"/>
        </w:rPr>
        <w:t>功能定位</w:t>
      </w:r>
    </w:p>
    <w:p w14:paraId="654D8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cs="Times New Roman"/>
          <w:color w:val="auto"/>
          <w:szCs w:val="32"/>
        </w:rPr>
        <w:t>市委、市政府明确公司功能定位为：依托南通产业发展基础，坚持市场化运作，打造国有综合性国际贸易服务平台，帮助在通企业畅通进出口渠道，助力南通优势产业集群拓展国际市场，为南通外贸稳规模优结构提供有力抓手和推动力量。围绕这一定位，未来外贸集团不从事具体的进出口业务，避免同业竞争，将聚焦服务、整合资源、拓展功能、强化撬动、引领发展，</w:t>
      </w:r>
      <w:r>
        <w:rPr>
          <w:rStyle w:val="20"/>
          <w:rFonts w:hint="default" w:ascii="Times New Roman" w:hAnsi="Times New Roman" w:cs="Times New Roman"/>
          <w:color w:val="auto"/>
          <w:szCs w:val="32"/>
          <w:lang w:eastAsia="zh-CN"/>
        </w:rPr>
        <w:t>优化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南通外贸发展模式和组织方式，提高南通外贸发展水平和优化外贸发展生态，提升企业开拓市场能力和南通产业国际市场竞争力。</w:t>
      </w:r>
    </w:p>
    <w:p w14:paraId="30411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方正仿宋_GBK" w:hAnsi="方正仿宋_GBK" w:eastAsia="方正仿宋_GBK" w:cs="方正仿宋_GBK"/>
          <w:b w:val="0"/>
          <w:bCs w:val="0"/>
          <w:color w:val="auto"/>
          <w:szCs w:val="32"/>
        </w:rPr>
      </w:pPr>
      <w:r>
        <w:rPr>
          <w:rStyle w:val="20"/>
          <w:rFonts w:hint="eastAsia" w:ascii="Times New Roman" w:hAnsi="Times New Roman" w:eastAsia="方正仿宋_GBK" w:cs="Times New Roman"/>
          <w:b/>
          <w:bCs/>
          <w:color w:val="auto"/>
          <w:szCs w:val="32"/>
          <w:lang w:eastAsia="zh-CN"/>
        </w:rPr>
        <w:t>一是</w:t>
      </w:r>
      <w:r>
        <w:rPr>
          <w:rStyle w:val="20"/>
          <w:rFonts w:hint="eastAsia" w:ascii="Times New Roman" w:hAnsi="Times New Roman" w:eastAsia="方正仿宋_GBK" w:cs="Times New Roman"/>
          <w:b/>
          <w:bCs/>
          <w:color w:val="auto"/>
          <w:szCs w:val="32"/>
        </w:rPr>
        <w:t>优化业务格局。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重点推进出口保函和进口信用证业务，积极推动船舶海工异地</w:t>
      </w:r>
      <w:r>
        <w:rPr>
          <w:rStyle w:val="20"/>
          <w:rFonts w:hint="default" w:ascii="方正仿宋_GBK" w:hAnsi="方正仿宋_GBK" w:eastAsia="方正仿宋_GBK" w:cs="方正仿宋_GBK"/>
          <w:b w:val="0"/>
          <w:bCs w:val="0"/>
          <w:color w:val="auto"/>
          <w:szCs w:val="32"/>
        </w:rPr>
        <w:t>出口与大豆、煤炭异地进口业务的拓展与整合，实现业务新突破。</w:t>
      </w:r>
      <w:r>
        <w:rPr>
          <w:rStyle w:val="20"/>
          <w:rFonts w:hint="eastAsia" w:ascii="Times New Roman" w:hAnsi="Times New Roman" w:eastAsia="方正仿宋_GBK" w:cs="Times New Roman"/>
          <w:b/>
          <w:bCs/>
          <w:color w:val="auto"/>
          <w:szCs w:val="32"/>
          <w:lang w:eastAsia="zh-CN"/>
        </w:rPr>
        <w:t>二是</w:t>
      </w:r>
      <w:r>
        <w:rPr>
          <w:rStyle w:val="20"/>
          <w:rFonts w:hint="default" w:ascii="Times New Roman" w:hAnsi="Times New Roman" w:eastAsia="方正仿宋_GBK" w:cs="Times New Roman"/>
          <w:b/>
          <w:bCs/>
          <w:color w:val="auto"/>
          <w:szCs w:val="32"/>
        </w:rPr>
        <w:t>整合资源优势。</w:t>
      </w:r>
      <w:r>
        <w:rPr>
          <w:rStyle w:val="20"/>
          <w:rFonts w:hint="default" w:ascii="方正仿宋_GBK" w:hAnsi="方正仿宋_GBK" w:eastAsia="方正仿宋_GBK" w:cs="方正仿宋_GBK"/>
          <w:b w:val="0"/>
          <w:bCs w:val="0"/>
          <w:color w:val="auto"/>
          <w:szCs w:val="32"/>
        </w:rPr>
        <w:t>重点挖掘整合我市特殊功能区、开放口岸和码头资源，主动谋划项目介入，提升口岸及特殊监管区发展绩效。</w:t>
      </w:r>
      <w:r>
        <w:rPr>
          <w:rStyle w:val="20"/>
          <w:rFonts w:hint="eastAsia" w:ascii="Times New Roman" w:hAnsi="Times New Roman" w:eastAsia="方正仿宋_GBK" w:cs="Times New Roman"/>
          <w:b/>
          <w:bCs/>
          <w:color w:val="auto"/>
          <w:szCs w:val="32"/>
          <w:lang w:eastAsia="zh-CN"/>
        </w:rPr>
        <w:t>三是</w:t>
      </w:r>
      <w:r>
        <w:rPr>
          <w:rStyle w:val="20"/>
          <w:rFonts w:hint="default" w:ascii="Times New Roman" w:hAnsi="Times New Roman" w:eastAsia="方正仿宋_GBK" w:cs="Times New Roman"/>
          <w:b/>
          <w:bCs/>
          <w:color w:val="auto"/>
          <w:szCs w:val="32"/>
        </w:rPr>
        <w:t>提供综合服务。</w:t>
      </w:r>
      <w:r>
        <w:rPr>
          <w:rStyle w:val="20"/>
          <w:rFonts w:hint="default" w:ascii="方正仿宋_GBK" w:hAnsi="方正仿宋_GBK" w:eastAsia="方正仿宋_GBK" w:cs="方正仿宋_GBK"/>
          <w:b w:val="0"/>
          <w:bCs w:val="0"/>
          <w:color w:val="auto"/>
          <w:szCs w:val="32"/>
        </w:rPr>
        <w:t>为中小外贸企业提供含通关、物流、保理、组展参展、数字化服务以及进口等综合式、一站式服务。</w:t>
      </w:r>
      <w:r>
        <w:rPr>
          <w:rStyle w:val="20"/>
          <w:rFonts w:hint="eastAsia" w:ascii="Times New Roman" w:hAnsi="Times New Roman" w:eastAsia="方正仿宋_GBK" w:cs="Times New Roman"/>
          <w:b/>
          <w:bCs/>
          <w:color w:val="auto"/>
          <w:szCs w:val="32"/>
          <w:lang w:eastAsia="zh-CN"/>
        </w:rPr>
        <w:t>四是</w:t>
      </w:r>
      <w:r>
        <w:rPr>
          <w:rStyle w:val="20"/>
          <w:rFonts w:hint="default" w:ascii="Times New Roman" w:hAnsi="Times New Roman" w:eastAsia="方正仿宋_GBK" w:cs="Times New Roman"/>
          <w:b/>
          <w:bCs/>
          <w:color w:val="auto"/>
          <w:szCs w:val="32"/>
          <w:lang w:eastAsia="zh-CN"/>
        </w:rPr>
        <w:t>创新业态模式</w:t>
      </w:r>
      <w:r>
        <w:rPr>
          <w:rStyle w:val="20"/>
          <w:rFonts w:hint="default" w:ascii="Times New Roman" w:hAnsi="Times New Roman" w:eastAsia="方正仿宋_GBK" w:cs="Times New Roman"/>
          <w:b/>
          <w:bCs/>
          <w:color w:val="auto"/>
          <w:szCs w:val="32"/>
        </w:rPr>
        <w:t>。</w:t>
      </w:r>
      <w:r>
        <w:rPr>
          <w:rStyle w:val="20"/>
          <w:rFonts w:hint="default" w:ascii="方正仿宋_GBK" w:hAnsi="方正仿宋_GBK" w:eastAsia="方正仿宋_GBK" w:cs="方正仿宋_GBK"/>
          <w:b w:val="0"/>
          <w:bCs w:val="0"/>
          <w:color w:val="auto"/>
          <w:szCs w:val="32"/>
        </w:rPr>
        <w:t>重点在跨境电商、市场采购、海外仓、保税物流、中间品贸易、境外营销体系建设等方面探索新路。</w:t>
      </w:r>
      <w:r>
        <w:rPr>
          <w:rStyle w:val="20"/>
          <w:rFonts w:hint="eastAsia" w:ascii="Times New Roman" w:hAnsi="Times New Roman" w:eastAsia="方正仿宋_GBK" w:cs="Times New Roman"/>
          <w:b/>
          <w:bCs/>
          <w:color w:val="auto"/>
          <w:szCs w:val="32"/>
          <w:lang w:eastAsia="zh-CN"/>
        </w:rPr>
        <w:t>五是</w:t>
      </w:r>
      <w:r>
        <w:rPr>
          <w:rStyle w:val="20"/>
          <w:rFonts w:hint="default" w:ascii="Times New Roman" w:hAnsi="Times New Roman" w:eastAsia="方正仿宋_GBK" w:cs="Times New Roman"/>
          <w:b/>
          <w:bCs/>
          <w:color w:val="auto"/>
          <w:szCs w:val="32"/>
          <w:lang w:eastAsia="zh-CN"/>
        </w:rPr>
        <w:t>强化基地建设。</w:t>
      </w:r>
      <w:r>
        <w:rPr>
          <w:rStyle w:val="20"/>
          <w:rFonts w:hint="default" w:ascii="方正仿宋_GBK" w:hAnsi="方正仿宋_GBK" w:eastAsia="方正仿宋_GBK" w:cs="方正仿宋_GBK"/>
          <w:b w:val="0"/>
          <w:bCs w:val="0"/>
          <w:color w:val="auto"/>
          <w:szCs w:val="32"/>
        </w:rPr>
        <w:t>围绕南通优势产业，牵头专项资金申报和使用，推进外贸基地建设。</w:t>
      </w:r>
    </w:p>
    <w:p w14:paraId="70EA9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eastAsia" w:ascii="方正楷体_GBK" w:hAnsi="方正楷体_GBK" w:eastAsia="方正楷体_GBK" w:cs="方正楷体_GBK"/>
          <w:color w:val="auto"/>
          <w:szCs w:val="32"/>
          <w:lang w:eastAsia="zh-CN"/>
        </w:rPr>
      </w:pPr>
      <w:r>
        <w:rPr>
          <w:rStyle w:val="20"/>
          <w:rFonts w:hint="eastAsia" w:ascii="方正楷体_GBK" w:hAnsi="方正楷体_GBK" w:eastAsia="方正楷体_GBK" w:cs="方正楷体_GBK"/>
          <w:color w:val="auto"/>
          <w:szCs w:val="32"/>
          <w:lang w:eastAsia="zh-CN"/>
        </w:rPr>
        <w:t>（二）目前业务</w:t>
      </w:r>
    </w:p>
    <w:p w14:paraId="709A5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仿宋_GBK" w:cs="Times New Roman"/>
          <w:b/>
          <w:bCs/>
          <w:color w:val="auto"/>
          <w:szCs w:val="32"/>
        </w:rPr>
        <w:t>1、船舶进出口业务。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与韩通集团初步达成1+2+2+12的船舶代理出口业务。一是共同完成1艘自升式海上风电船的代理出口业务，交船期为2024年11月；二是2艘已出具保函散货船的委托代理进出口业务，交船期为2025年；三是2艘代开保函加委托代理进出口业务，交船期为2026-2027年；四是12艘绿色LNG双燃料动力集装箱船的代开保函加委托代理进出口业务，交船期为2027年-2029年。</w:t>
      </w:r>
    </w:p>
    <w:p w14:paraId="60FE6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仿宋_GBK" w:cs="Times New Roman"/>
          <w:b/>
          <w:bCs/>
          <w:color w:val="auto"/>
          <w:szCs w:val="32"/>
        </w:rPr>
        <w:t>2、</w:t>
      </w:r>
      <w:r>
        <w:rPr>
          <w:rStyle w:val="20"/>
          <w:rFonts w:hint="default" w:ascii="Times New Roman" w:hAnsi="Times New Roman" w:cs="Times New Roman"/>
          <w:b/>
          <w:bCs/>
          <w:color w:val="auto"/>
          <w:szCs w:val="32"/>
          <w:lang w:eastAsia="zh-CN"/>
        </w:rPr>
        <w:t>近期</w:t>
      </w:r>
      <w:r>
        <w:rPr>
          <w:rStyle w:val="20"/>
          <w:rFonts w:hint="default" w:ascii="Times New Roman" w:hAnsi="Times New Roman" w:eastAsia="方正仿宋_GBK" w:cs="Times New Roman"/>
          <w:b/>
          <w:bCs/>
          <w:color w:val="auto"/>
          <w:szCs w:val="32"/>
          <w:lang w:eastAsia="zh-CN"/>
        </w:rPr>
        <w:t>沟通论证项目。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一是针对部分成套设备出口企业应收账款时限过长的痛点，开展出口保理业务。正在洽谈的企业有机械设备出口企业的海外工程企业；进口方面正在调研的是煤炭、大豆、化工原料进口代理开证业务。二是贸易数字化业务。正在沟通的有中外运集团数据中心项目、宁波国际物流集团外贸大数据平台合作项目。三是外贸物流、跨境电商海外仓业务。包括跨境电商通关及物流合作项目、中非贸易吉布提自贸区南通集货仓项目，跨境供应链1210进口项目。四是综合服务类业务。包括因私出国签证服务、境外展会、江苏中石油有限公司合作业务等，目前正结合南通在境外投资企业研究中间品供应链业务。</w:t>
      </w:r>
    </w:p>
    <w:p w14:paraId="5FF60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eastAsia="方正楷体_GBK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楷体_GBK" w:cs="Times New Roman"/>
          <w:color w:val="auto"/>
          <w:szCs w:val="32"/>
          <w:lang w:eastAsia="zh-CN"/>
        </w:rPr>
        <w:t>（三）</w:t>
      </w:r>
      <w:r>
        <w:rPr>
          <w:rStyle w:val="20"/>
          <w:rFonts w:hint="default" w:ascii="Times New Roman" w:hAnsi="Times New Roman" w:eastAsia="方正楷体_GBK" w:cs="Times New Roman"/>
          <w:color w:val="auto"/>
          <w:szCs w:val="32"/>
        </w:rPr>
        <w:t>近期目标</w:t>
      </w:r>
    </w:p>
    <w:p w14:paraId="588CC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仿宋_GBK" w:cs="Times New Roman"/>
          <w:b/>
          <w:bCs/>
          <w:color w:val="auto"/>
          <w:szCs w:val="32"/>
          <w:lang w:eastAsia="zh-CN"/>
        </w:rPr>
        <w:t>1、组织目标。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今年目标是完成公司注册注资、团队搭建、架构设置、制度建设等基础工作，学习苏南及先进地区推进外贸高质量发展的做法和成功企业经验，做好南通外贸企业需求调研，围绕推进南通外贸高质量发展梳理发展思路和拓展方向。</w:t>
      </w:r>
    </w:p>
    <w:p w14:paraId="78E1D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32" w:firstLineChars="20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r>
        <w:rPr>
          <w:rStyle w:val="20"/>
          <w:rFonts w:hint="default" w:ascii="Times New Roman" w:hAnsi="Times New Roman" w:eastAsia="方正仿宋_GBK" w:cs="Times New Roman"/>
          <w:b/>
          <w:bCs/>
          <w:color w:val="auto"/>
          <w:szCs w:val="32"/>
          <w:lang w:eastAsia="zh-CN"/>
        </w:rPr>
        <w:t>2、业务目标。</w:t>
      </w:r>
      <w:r>
        <w:rPr>
          <w:rStyle w:val="20"/>
          <w:rFonts w:hint="default" w:ascii="Times New Roman" w:hAnsi="Times New Roman" w:cs="Times New Roman"/>
          <w:color w:val="auto"/>
          <w:szCs w:val="32"/>
        </w:rPr>
        <w:t>年内启动公司经营，实现进出口1亿美元以上；明年在不断完善功能的基础上，争取实现几大主导业务的突破，通过服务和代理带动我市外贸企业增加自营，新增本地外贸企业进出口规模在全市占比超过1%以上；引领企业增强市场开拓能力，引导板块提高外贸工作组织能力。</w:t>
      </w:r>
    </w:p>
    <w:p w14:paraId="7C528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right="0" w:firstLine="0" w:firstLineChars="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</w:p>
    <w:p w14:paraId="175FB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right="0" w:firstLine="0" w:firstLineChars="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</w:p>
    <w:p w14:paraId="5B0D6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right="0" w:firstLine="0" w:firstLineChars="0"/>
        <w:jc w:val="both"/>
        <w:textAlignment w:val="auto"/>
        <w:rPr>
          <w:rStyle w:val="20"/>
          <w:rFonts w:hint="default" w:ascii="Times New Roman" w:hAnsi="Times New Roman" w:cs="Times New Roman"/>
          <w:color w:val="auto"/>
          <w:szCs w:val="32"/>
        </w:rPr>
      </w:pPr>
      <w:bookmarkStart w:id="20" w:name="_GoBack"/>
      <w:bookmarkEnd w:id="20"/>
    </w:p>
    <w:p w14:paraId="08464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right="0" w:firstLine="5688" w:firstLineChars="18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color w:val="auto"/>
          <w:sz w:val="32"/>
          <w:szCs w:val="32"/>
          <w:lang w:val="en-US" w:eastAsia="zh-CN"/>
        </w:rPr>
        <w:t>南通市商务局</w:t>
      </w:r>
    </w:p>
    <w:p w14:paraId="59D68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right="0" w:firstLine="5666" w:firstLineChars="1793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napToGrid/>
          <w:color w:val="auto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eastAsia="方正仿宋_GBK" w:cs="Times New Roman"/>
          <w:snapToGrid/>
          <w:color w:val="auto"/>
          <w:sz w:val="32"/>
          <w:szCs w:val="32"/>
        </w:rPr>
        <w:t>年</w:t>
      </w:r>
      <w:r>
        <w:rPr>
          <w:rFonts w:hint="eastAsia" w:ascii="Times New Roman" w:hAnsi="Times New Roman" w:cs="Times New Roman"/>
          <w:snapToGrid/>
          <w:color w:val="auto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napToGrid/>
          <w:color w:val="auto"/>
          <w:sz w:val="32"/>
          <w:szCs w:val="32"/>
        </w:rPr>
        <w:t>月</w:t>
      </w:r>
      <w:r>
        <w:rPr>
          <w:rFonts w:hint="eastAsia" w:ascii="Times New Roman" w:hAnsi="Times New Roman" w:cs="Times New Roman"/>
          <w:snapToGrid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napToGrid/>
          <w:color w:val="auto"/>
          <w:sz w:val="32"/>
          <w:szCs w:val="32"/>
        </w:rPr>
        <w:t>日</w:t>
      </w:r>
    </w:p>
    <w:p w14:paraId="0F03AB66">
      <w:pPr>
        <w:keepNext w:val="0"/>
        <w:keepLines w:val="0"/>
        <w:pageBreakBefore w:val="0"/>
        <w:widowControl w:val="0"/>
        <w:tabs>
          <w:tab w:val="left" w:pos="2127"/>
          <w:tab w:val="left" w:pos="2576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color w:val="auto"/>
        </w:rPr>
      </w:pPr>
    </w:p>
    <w:p w14:paraId="7902ABF0">
      <w:pPr>
        <w:keepNext w:val="0"/>
        <w:keepLines w:val="0"/>
        <w:pageBreakBefore w:val="0"/>
        <w:widowControl w:val="0"/>
        <w:tabs>
          <w:tab w:val="left" w:pos="2127"/>
          <w:tab w:val="left" w:pos="2576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color w:val="auto"/>
        </w:rPr>
      </w:pPr>
    </w:p>
    <w:p w14:paraId="57A6C58D">
      <w:pPr>
        <w:keepNext w:val="0"/>
        <w:keepLines w:val="0"/>
        <w:pageBreakBefore w:val="0"/>
        <w:widowControl w:val="0"/>
        <w:tabs>
          <w:tab w:val="left" w:pos="2127"/>
          <w:tab w:val="left" w:pos="2576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</w:rPr>
        <w:t>联 系 人：</w:t>
      </w:r>
      <w:r>
        <w:rPr>
          <w:rFonts w:hint="default" w:ascii="Times New Roman" w:hAnsi="Times New Roman" w:eastAsia="方正仿宋_GBK" w:cs="Times New Roman"/>
          <w:color w:val="auto"/>
          <w:lang w:val="en-US" w:eastAsia="zh-CN"/>
        </w:rPr>
        <w:t>黄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color w:val="auto"/>
          <w:lang w:val="en-US" w:eastAsia="zh-CN"/>
        </w:rPr>
        <w:t>莹</w:t>
      </w:r>
    </w:p>
    <w:p w14:paraId="21897D32">
      <w:pPr>
        <w:keepNext w:val="0"/>
        <w:keepLines w:val="0"/>
        <w:pageBreakBefore w:val="0"/>
        <w:widowControl w:val="0"/>
        <w:tabs>
          <w:tab w:val="left" w:pos="2127"/>
          <w:tab w:val="left" w:pos="2576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color w:val="auto"/>
        </w:rPr>
      </w:pPr>
      <w:r>
        <w:rPr>
          <w:rFonts w:hint="default" w:ascii="Times New Roman" w:hAnsi="Times New Roman" w:eastAsia="方正仿宋_GBK" w:cs="Times New Roman"/>
          <w:color w:val="auto"/>
        </w:rPr>
        <w:t>联系电话：</w:t>
      </w:r>
      <w:r>
        <w:rPr>
          <w:rFonts w:hint="default" w:ascii="Times New Roman" w:hAnsi="Times New Roman" w:eastAsia="方正仿宋_GBK" w:cs="Times New Roman"/>
          <w:color w:val="auto"/>
          <w:lang w:val="en-US" w:eastAsia="zh-CN"/>
        </w:rPr>
        <w:t>85115227</w:t>
      </w:r>
    </w:p>
    <w:p w14:paraId="6FB03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540" w:lineRule="exact"/>
        <w:ind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b/>
          <w:sz w:val="44"/>
          <w:szCs w:val="44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</w:rPr>
        <w:t>抄    送：</w:t>
      </w:r>
      <w:r>
        <w:rPr>
          <w:rFonts w:hint="default" w:ascii="Times New Roman" w:hAnsi="Times New Roman" w:eastAsia="方正仿宋_GBK" w:cs="Times New Roman"/>
          <w:color w:val="auto"/>
          <w:lang w:val="en-US" w:eastAsia="zh-CN"/>
        </w:rPr>
        <w:t>市人大、市政府办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3E475">
    <w:pPr>
      <w:pStyle w:val="6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D1FB3">
    <w:pPr>
      <w:pStyle w:val="6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C3991">
    <w:pPr>
      <w:pStyle w:val="16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6B07D">
    <w:pPr>
      <w:pStyle w:val="15"/>
      <w:keepNext w:val="0"/>
      <w:keepLines w:val="0"/>
      <w:pageBreakBefore w:val="0"/>
      <w:widowControl w:val="0"/>
      <w:kinsoku/>
      <w:wordWrap/>
      <w:overflowPunct/>
      <w:topLinePunct w:val="0"/>
      <w:autoSpaceDE w:val="0"/>
      <w:autoSpaceDN w:val="0"/>
      <w:bidi w:val="0"/>
      <w:adjustRightInd w:val="0"/>
      <w:snapToGrid/>
      <w:spacing w:before="0" w:after="0" w:line="440" w:lineRule="exact"/>
      <w:ind w:left="0" w:right="0"/>
      <w:jc w:val="right"/>
      <w:textAlignment w:val="auto"/>
      <w:rPr>
        <w:rFonts w:hint="eastAsia" w:ascii="方正黑体_GBK" w:hAnsi="方正黑体_GBK" w:eastAsia="方正黑体_GBK" w:cs="方正黑体_GBK"/>
        <w:color w:val="auto"/>
        <w:spacing w:val="0"/>
        <w:w w:val="100"/>
        <w:sz w:val="32"/>
        <w:szCs w:val="32"/>
        <w:lang w:val="en-US" w:eastAsia="zh-CN"/>
      </w:rPr>
    </w:pPr>
    <w:r>
      <w:rPr>
        <w:rFonts w:hint="eastAsia" w:ascii="方正黑体_GBK" w:hAnsi="方正黑体_GBK" w:eastAsia="方正黑体_GBK" w:cs="方正黑体_GBK"/>
        <w:color w:val="auto"/>
        <w:spacing w:val="0"/>
        <w:w w:val="100"/>
        <w:sz w:val="32"/>
        <w:szCs w:val="32"/>
        <w:lang w:val="en-US" w:eastAsia="zh-CN"/>
      </w:rPr>
      <w:t xml:space="preserve">A </w:t>
    </w:r>
  </w:p>
  <w:p w14:paraId="6BEBE239">
    <w:pPr>
      <w:pStyle w:val="15"/>
      <w:keepNext w:val="0"/>
      <w:keepLines w:val="0"/>
      <w:pageBreakBefore w:val="0"/>
      <w:widowControl w:val="0"/>
      <w:kinsoku/>
      <w:wordWrap/>
      <w:overflowPunct/>
      <w:topLinePunct w:val="0"/>
      <w:autoSpaceDE w:val="0"/>
      <w:autoSpaceDN w:val="0"/>
      <w:bidi w:val="0"/>
      <w:adjustRightInd w:val="0"/>
      <w:snapToGrid/>
      <w:spacing w:before="0" w:after="0" w:line="440" w:lineRule="exact"/>
      <w:ind w:left="0" w:right="0"/>
      <w:jc w:val="right"/>
      <w:textAlignment w:val="auto"/>
      <w:rPr>
        <w:rFonts w:hint="eastAsia" w:ascii="方正黑体_GBK" w:hAnsi="方正黑体_GBK" w:eastAsia="方正黑体_GBK" w:cs="方正黑体_GBK"/>
        <w:spacing w:val="0"/>
        <w:w w:val="100"/>
        <w:sz w:val="32"/>
        <w:szCs w:val="32"/>
      </w:rPr>
    </w:pPr>
    <w:r>
      <w:rPr>
        <w:rFonts w:hint="eastAsia" w:ascii="方正黑体_GBK" w:hAnsi="方正黑体_GBK" w:eastAsia="方正黑体_GBK" w:cs="方正黑体_GBK"/>
        <w:color w:val="auto"/>
        <w:spacing w:val="0"/>
        <w:w w:val="100"/>
        <w:sz w:val="32"/>
        <w:szCs w:val="32"/>
        <w:lang w:val="en-US" w:eastAsia="zh-CN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53301BF3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A83AD0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016B44FB"/>
    <w:rsid w:val="06C9323D"/>
    <w:rsid w:val="06FF4708"/>
    <w:rsid w:val="1E5063A1"/>
    <w:rsid w:val="251C36CC"/>
    <w:rsid w:val="25D95AFA"/>
    <w:rsid w:val="28267917"/>
    <w:rsid w:val="29D81A29"/>
    <w:rsid w:val="330B5ED8"/>
    <w:rsid w:val="36201528"/>
    <w:rsid w:val="37E6581D"/>
    <w:rsid w:val="396A0465"/>
    <w:rsid w:val="39BA2D80"/>
    <w:rsid w:val="3B6B264B"/>
    <w:rsid w:val="4440141F"/>
    <w:rsid w:val="53301BF3"/>
    <w:rsid w:val="556D2EE9"/>
    <w:rsid w:val="657B15BD"/>
    <w:rsid w:val="6E001D36"/>
    <w:rsid w:val="6E816FD5"/>
    <w:rsid w:val="703F45D4"/>
    <w:rsid w:val="72201EA6"/>
    <w:rsid w:val="783D5864"/>
    <w:rsid w:val="7F7237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5">
    <w:name w:val="文头"/>
    <w:basedOn w:val="16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6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7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18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19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  <w:style w:type="character" w:customStyle="1" w:styleId="20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6</Pages>
  <Words>6</Words>
  <Characters>6</Characters>
  <Lines>1</Lines>
  <Paragraphs>1</Paragraphs>
  <TotalTime>2</TotalTime>
  <ScaleCrop>false</ScaleCrop>
  <LinksUpToDate>false</LinksUpToDate>
  <CharactersWithSpaces>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2024-09-04T02:12:00Z</dcterms:created>
  <dc:creator>翻不完的日历</dc:creator>
  <cp:lastModifiedBy>翻不完的日历</cp:lastModifiedBy>
  <dcterms:modified xsi:type="dcterms:W3CDTF">2024-09-04T02:20:51Z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93B573109D0145ECA9EADF37DCE95950_11</vt:lpwstr>
  </property>
</Properties>
</file>