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5AF0A">
      <w:pPr>
        <w:pStyle w:val="19"/>
        <w:spacing w:before="160" w:after="140" w:line="900" w:lineRule="exact"/>
        <w:rPr>
          <w:rFonts w:ascii="方正小标宋_GBK" w:eastAsia="方正小标宋_GBK"/>
          <w:spacing w:val="0"/>
          <w:sz w:val="100"/>
          <w:szCs w:val="100"/>
        </w:rPr>
      </w:pPr>
      <w:r>
        <w:rPr>
          <w:rFonts w:hint="eastAsia" w:ascii="方正小标宋_GBK" w:eastAsia="方正小标宋_GBK"/>
          <w:spacing w:val="0"/>
          <w:sz w:val="100"/>
          <w:szCs w:val="100"/>
        </w:rPr>
        <w:t>南通市商务局</w:t>
      </w:r>
    </w:p>
    <w:p w14:paraId="1F492411">
      <w:pPr>
        <w:pStyle w:val="20"/>
        <w:snapToGrid w:val="0"/>
        <w:spacing w:after="120" w:line="120" w:lineRule="atLeast"/>
        <w:ind w:left="-57" w:right="-57"/>
        <w:rPr>
          <w:rFonts w:ascii="宋体"/>
        </w:rPr>
      </w:pPr>
      <w:bookmarkStart w:id="0" w:name="_1081336902"/>
      <w:bookmarkEnd w:id="0"/>
      <w:bookmarkStart w:id="1" w:name="_988455645"/>
      <w:bookmarkEnd w:id="1"/>
      <w:bookmarkStart w:id="2" w:name="_988455673"/>
      <w:bookmarkEnd w:id="2"/>
      <w:bookmarkStart w:id="3" w:name="_1081336172"/>
      <w:bookmarkEnd w:id="3"/>
      <w:bookmarkStart w:id="4" w:name="_1081336852"/>
      <w:bookmarkEnd w:id="4"/>
      <w:bookmarkStart w:id="5" w:name="_988455233"/>
      <w:bookmarkEnd w:id="5"/>
      <w:bookmarkStart w:id="6" w:name="_988456248"/>
      <w:bookmarkEnd w:id="6"/>
      <w:bookmarkStart w:id="7" w:name="_1081336779"/>
      <w:bookmarkEnd w:id="7"/>
      <w:bookmarkStart w:id="8" w:name="_988455157"/>
      <w:bookmarkEnd w:id="8"/>
      <w:bookmarkStart w:id="9" w:name="_988455212"/>
      <w:bookmarkEnd w:id="9"/>
      <w:bookmarkStart w:id="10" w:name="_1081335927"/>
      <w:bookmarkEnd w:id="10"/>
      <w:bookmarkStart w:id="11" w:name="_988455575"/>
      <w:bookmarkEnd w:id="11"/>
      <w:bookmarkStart w:id="12" w:name="_1081336936"/>
      <w:bookmarkEnd w:id="12"/>
      <w:bookmarkStart w:id="13" w:name="_988455526"/>
      <w:bookmarkEnd w:id="13"/>
      <w:bookmarkStart w:id="14" w:name="_1081336197"/>
      <w:bookmarkEnd w:id="14"/>
      <w:bookmarkStart w:id="15" w:name="_988455599"/>
      <w:bookmarkEnd w:id="15"/>
      <w:bookmarkStart w:id="16" w:name="_988455626"/>
      <w:bookmarkEnd w:id="16"/>
      <w:bookmarkStart w:id="17" w:name="_1081336878"/>
      <w:bookmarkEnd w:id="17"/>
      <w:bookmarkStart w:id="18" w:name="_1081336766"/>
      <w:bookmarkEnd w:id="18"/>
      <w:r>
        <w:rPr>
          <w:rFonts w:ascii="宋体" w:hAnsi="汉鼎简仿宋"/>
        </w:rPr>
        <w:object>
          <v:shape id="_x0000_i1025" o:spt="75" type="#_x0000_t75" style="height:6pt;width:445.5pt;" o:ole="t" fillcolor="#6D6D6D" filled="f" o:preferrelative="t" stroked="f" coordsize="21600,21600">
            <v:path/>
            <v:fill on="f" focussize="0,0"/>
            <v:stroke on="f" joinstyle="miter"/>
            <v:imagedata r:id="rId11" o:title=""/>
            <o:lock v:ext="edit" aspectratio="f"/>
            <w10:wrap type="none"/>
            <w10:anchorlock/>
          </v:shape>
          <o:OLEObject Type="Embed" ProgID="Word.Picture.8" ShapeID="_x0000_i1025" DrawAspect="Content" ObjectID="_1468075726" r:id="rId10">
            <o:LockedField>false</o:LockedField>
          </o:OLEObject>
        </w:object>
      </w:r>
    </w:p>
    <w:p w14:paraId="49D6FFDE">
      <w:pPr>
        <w:keepNext w:val="0"/>
        <w:keepLines w:val="0"/>
        <w:pageBreakBefore w:val="0"/>
        <w:kinsoku/>
        <w:wordWrap/>
        <w:overflowPunct/>
        <w:topLinePunct w:val="0"/>
        <w:bidi w:val="0"/>
        <w:spacing w:line="590" w:lineRule="exact"/>
        <w:ind w:firstLine="0"/>
        <w:textAlignment w:val="auto"/>
        <w:rPr>
          <w:rFonts w:ascii="Times New Roman" w:hAnsi="Times New Roman"/>
          <w:b/>
          <w:sz w:val="44"/>
          <w:szCs w:val="44"/>
        </w:rPr>
      </w:pPr>
    </w:p>
    <w:p w14:paraId="0895B910">
      <w:pPr>
        <w:keepNext w:val="0"/>
        <w:keepLines w:val="0"/>
        <w:pageBreakBefore w:val="0"/>
        <w:kinsoku/>
        <w:wordWrap/>
        <w:overflowPunct/>
        <w:topLinePunct w:val="0"/>
        <w:bidi w:val="0"/>
        <w:spacing w:line="590" w:lineRule="exact"/>
        <w:ind w:firstLine="316" w:firstLineChars="100"/>
        <w:textAlignment w:val="auto"/>
        <w:rPr>
          <w:rFonts w:hint="eastAsia" w:ascii="方正楷体_GBK" w:hAnsi="方正楷体_GBK" w:eastAsia="方正楷体_GBK" w:cs="方正楷体_GBK"/>
          <w:snapToGrid/>
        </w:rPr>
      </w:pPr>
      <w:r>
        <w:rPr>
          <w:rFonts w:ascii="Times New Roman" w:hAnsi="Times New Roman"/>
          <w:kern w:val="32"/>
          <w:szCs w:val="32"/>
        </w:rPr>
        <w:t>通商复字﹝2024﹞</w:t>
      </w:r>
      <w:r>
        <w:rPr>
          <w:rFonts w:hint="eastAsia" w:ascii="Times New Roman" w:hAnsi="Times New Roman"/>
          <w:kern w:val="32"/>
          <w:szCs w:val="32"/>
          <w:lang w:val="en-US" w:eastAsia="zh-CN"/>
        </w:rPr>
        <w:t>75</w:t>
      </w:r>
      <w:r>
        <w:rPr>
          <w:rFonts w:ascii="Times New Roman" w:hAnsi="Times New Roman"/>
          <w:kern w:val="32"/>
          <w:szCs w:val="32"/>
        </w:rPr>
        <w:t xml:space="preserve">号           </w:t>
      </w:r>
      <w:r>
        <w:rPr>
          <w:rFonts w:hint="eastAsia" w:ascii="Times New Roman" w:hAnsi="Times New Roman"/>
          <w:kern w:val="32"/>
          <w:szCs w:val="32"/>
        </w:rPr>
        <w:t xml:space="preserve"> </w:t>
      </w:r>
      <w:r>
        <w:rPr>
          <w:rFonts w:ascii="Times New Roman" w:hAnsi="Times New Roman"/>
          <w:kern w:val="32"/>
          <w:szCs w:val="32"/>
        </w:rPr>
        <w:t xml:space="preserve">     签发人：</w:t>
      </w:r>
      <w:r>
        <w:rPr>
          <w:rFonts w:hint="eastAsia" w:ascii="方正楷体_GBK" w:hAnsi="方正楷体_GBK" w:eastAsia="方正楷体_GBK" w:cs="方正楷体_GBK"/>
          <w:kern w:val="32"/>
          <w:szCs w:val="32"/>
        </w:rPr>
        <w:t>高洪军</w:t>
      </w:r>
    </w:p>
    <w:p w14:paraId="27D09D28">
      <w:pPr>
        <w:keepNext w:val="0"/>
        <w:keepLines w:val="0"/>
        <w:pageBreakBefore w:val="0"/>
        <w:kinsoku/>
        <w:wordWrap/>
        <w:overflowPunct/>
        <w:topLinePunct w:val="0"/>
        <w:bidi w:val="0"/>
        <w:spacing w:line="590" w:lineRule="exact"/>
        <w:ind w:firstLine="0"/>
        <w:textAlignment w:val="auto"/>
        <w:rPr>
          <w:rFonts w:ascii="Times New Roman" w:hAnsi="Times New Roman"/>
          <w:snapToGrid/>
        </w:rPr>
      </w:pPr>
    </w:p>
    <w:p w14:paraId="706DAD4F">
      <w:pPr>
        <w:keepNext w:val="0"/>
        <w:keepLines w:val="0"/>
        <w:pageBreakBefore w:val="0"/>
        <w:tabs>
          <w:tab w:val="left" w:pos="9193"/>
          <w:tab w:val="left" w:pos="9827"/>
        </w:tabs>
        <w:kinsoku/>
        <w:wordWrap/>
        <w:overflowPunct/>
        <w:topLinePunct w:val="0"/>
        <w:bidi w:val="0"/>
        <w:spacing w:line="590" w:lineRule="exact"/>
        <w:ind w:firstLine="0"/>
        <w:jc w:val="center"/>
        <w:textAlignment w:val="auto"/>
        <w:rPr>
          <w:rFonts w:hint="eastAsia" w:ascii="方正小标宋_GBK" w:hAnsi="方正小标宋_GBK" w:eastAsia="方正小标宋_GBK" w:cs="方正小标宋_GBK"/>
          <w:snapToGrid/>
          <w:spacing w:val="20"/>
          <w:sz w:val="44"/>
          <w:szCs w:val="44"/>
        </w:rPr>
      </w:pPr>
      <w:r>
        <w:rPr>
          <w:rFonts w:hint="eastAsia" w:ascii="方正小标宋_GBK" w:hAnsi="方正小标宋_GBK" w:eastAsia="方正小标宋_GBK" w:cs="方正小标宋_GBK"/>
          <w:snapToGrid/>
          <w:spacing w:val="20"/>
          <w:sz w:val="44"/>
          <w:szCs w:val="44"/>
        </w:rPr>
        <w:t>对市十六届人大四次会议</w:t>
      </w:r>
    </w:p>
    <w:p w14:paraId="511A621D">
      <w:pPr>
        <w:keepNext w:val="0"/>
        <w:keepLines w:val="0"/>
        <w:pageBreakBefore w:val="0"/>
        <w:tabs>
          <w:tab w:val="left" w:pos="9193"/>
          <w:tab w:val="left" w:pos="9827"/>
        </w:tabs>
        <w:kinsoku/>
        <w:wordWrap/>
        <w:overflowPunct/>
        <w:topLinePunct w:val="0"/>
        <w:bidi w:val="0"/>
        <w:spacing w:line="590" w:lineRule="exact"/>
        <w:ind w:firstLine="0"/>
        <w:jc w:val="center"/>
        <w:textAlignment w:val="auto"/>
        <w:rPr>
          <w:rFonts w:hint="eastAsia" w:ascii="方正小标宋_GBK" w:hAnsi="方正小标宋_GBK" w:eastAsia="方正小标宋_GBK" w:cs="方正小标宋_GBK"/>
          <w:snapToGrid/>
          <w:sz w:val="44"/>
          <w:szCs w:val="44"/>
          <w:lang w:eastAsia="zh-CN"/>
        </w:rPr>
      </w:pPr>
      <w:r>
        <w:rPr>
          <w:rFonts w:hint="eastAsia" w:ascii="方正小标宋_GBK" w:hAnsi="方正小标宋_GBK" w:eastAsia="方正小标宋_GBK" w:cs="方正小标宋_GBK"/>
          <w:snapToGrid/>
          <w:spacing w:val="20"/>
          <w:sz w:val="44"/>
          <w:szCs w:val="44"/>
        </w:rPr>
        <w:t>第</w:t>
      </w:r>
      <w:r>
        <w:rPr>
          <w:rFonts w:ascii="方正小标宋_GBK" w:hAnsi="方正小标宋_GBK" w:eastAsia="方正小标宋_GBK" w:cs="方正小标宋_GBK"/>
          <w:snapToGrid/>
          <w:spacing w:val="20"/>
          <w:sz w:val="44"/>
          <w:szCs w:val="44"/>
        </w:rPr>
        <w:t>582</w:t>
      </w:r>
      <w:r>
        <w:rPr>
          <w:rFonts w:hint="eastAsia" w:ascii="方正小标宋_GBK" w:hAnsi="方正小标宋_GBK" w:eastAsia="方正小标宋_GBK" w:cs="方正小标宋_GBK"/>
          <w:snapToGrid/>
          <w:spacing w:val="20"/>
          <w:sz w:val="44"/>
          <w:szCs w:val="44"/>
        </w:rPr>
        <w:t>号建议</w:t>
      </w:r>
      <w:r>
        <w:rPr>
          <w:rFonts w:hint="eastAsia" w:ascii="方正小标宋_GBK" w:hAnsi="方正小标宋_GBK" w:eastAsia="方正小标宋_GBK" w:cs="方正小标宋_GBK"/>
          <w:snapToGrid/>
          <w:sz w:val="44"/>
          <w:szCs w:val="44"/>
        </w:rPr>
        <w:t>的答复</w:t>
      </w:r>
    </w:p>
    <w:p w14:paraId="2EA935F0">
      <w:pPr>
        <w:keepNext w:val="0"/>
        <w:keepLines w:val="0"/>
        <w:pageBreakBefore w:val="0"/>
        <w:kinsoku/>
        <w:wordWrap/>
        <w:overflowPunct/>
        <w:topLinePunct w:val="0"/>
        <w:bidi w:val="0"/>
        <w:spacing w:line="590" w:lineRule="exact"/>
        <w:ind w:firstLine="0"/>
        <w:textAlignment w:val="auto"/>
        <w:rPr>
          <w:rFonts w:ascii="Times New Roman" w:hAnsi="Times New Roman"/>
          <w:snapToGrid/>
          <w:szCs w:val="32"/>
        </w:rPr>
      </w:pPr>
    </w:p>
    <w:p w14:paraId="5666B640">
      <w:pPr>
        <w:keepNext w:val="0"/>
        <w:keepLines w:val="0"/>
        <w:pageBreakBefore w:val="0"/>
        <w:widowControl/>
        <w:kinsoku/>
        <w:wordWrap/>
        <w:overflowPunct/>
        <w:topLinePunct w:val="0"/>
        <w:autoSpaceDE/>
        <w:autoSpaceDN/>
        <w:bidi w:val="0"/>
        <w:snapToGrid/>
        <w:spacing w:line="590" w:lineRule="exact"/>
        <w:ind w:firstLine="0"/>
        <w:textAlignment w:val="auto"/>
        <w:rPr>
          <w:rFonts w:hAnsi="方正仿宋_GBK" w:cs="方正仿宋_GBK"/>
          <w:snapToGrid/>
          <w:szCs w:val="32"/>
        </w:rPr>
      </w:pPr>
      <w:bookmarkStart w:id="19" w:name="deputyLeaderName1"/>
      <w:r>
        <w:rPr>
          <w:rFonts w:hint="eastAsia" w:hAnsi="方正仿宋_GBK" w:cs="方正仿宋_GBK"/>
          <w:snapToGrid/>
          <w:szCs w:val="32"/>
        </w:rPr>
        <w:t>袁小华</w:t>
      </w:r>
      <w:bookmarkEnd w:id="19"/>
      <w:r>
        <w:rPr>
          <w:rFonts w:hint="eastAsia" w:hAnsi="方正仿宋_GBK" w:cs="方正仿宋_GBK"/>
          <w:snapToGrid/>
          <w:szCs w:val="32"/>
        </w:rPr>
        <w:t>代表：</w:t>
      </w:r>
    </w:p>
    <w:p w14:paraId="6CE76577">
      <w:pPr>
        <w:keepNext w:val="0"/>
        <w:keepLines w:val="0"/>
        <w:pageBreakBefore w:val="0"/>
        <w:widowControl/>
        <w:kinsoku/>
        <w:wordWrap/>
        <w:overflowPunct/>
        <w:topLinePunct w:val="0"/>
        <w:autoSpaceDE/>
        <w:autoSpaceDN/>
        <w:bidi w:val="0"/>
        <w:snapToGrid/>
        <w:spacing w:line="590" w:lineRule="exact"/>
        <w:ind w:firstLine="632" w:firstLineChars="200"/>
        <w:textAlignment w:val="auto"/>
        <w:rPr>
          <w:rFonts w:hAnsi="方正仿宋_GBK" w:cs="方正仿宋_GBK"/>
          <w:snapToGrid/>
          <w:szCs w:val="32"/>
        </w:rPr>
      </w:pPr>
      <w:r>
        <w:rPr>
          <w:rFonts w:hAnsi="方正仿宋_GBK" w:cs="方正仿宋_GBK"/>
          <w:snapToGrid/>
          <w:szCs w:val="32"/>
        </w:rPr>
        <w:t>您提出的</w:t>
      </w:r>
      <w:bookmarkStart w:id="20" w:name="title3"/>
      <w:r>
        <w:rPr>
          <w:rFonts w:hint="eastAsia" w:hAnsi="方正仿宋_GBK" w:cs="方正仿宋_GBK"/>
          <w:snapToGrid/>
          <w:szCs w:val="32"/>
          <w:lang w:eastAsia="zh-CN"/>
        </w:rPr>
        <w:t>《</w:t>
      </w:r>
      <w:r>
        <w:rPr>
          <w:rFonts w:hAnsi="方正仿宋_GBK" w:cs="方正仿宋_GBK"/>
          <w:snapToGrid/>
          <w:szCs w:val="32"/>
        </w:rPr>
        <w:t>关于</w:t>
      </w:r>
      <w:bookmarkStart w:id="21" w:name="title1"/>
      <w:r>
        <w:rPr>
          <w:rFonts w:hAnsi="方正仿宋_GBK" w:cs="方正仿宋_GBK"/>
          <w:snapToGrid/>
          <w:szCs w:val="32"/>
        </w:rPr>
        <w:t>进一步做好商圈建设的建议</w:t>
      </w:r>
      <w:bookmarkEnd w:id="21"/>
      <w:r>
        <w:rPr>
          <w:rFonts w:hint="eastAsia" w:hAnsi="方正仿宋_GBK" w:cs="方正仿宋_GBK"/>
          <w:snapToGrid/>
          <w:szCs w:val="32"/>
          <w:lang w:eastAsia="zh-CN"/>
        </w:rPr>
        <w:t>》</w:t>
      </w:r>
      <w:bookmarkEnd w:id="20"/>
      <w:r>
        <w:rPr>
          <w:rFonts w:hAnsi="方正仿宋_GBK" w:cs="方正仿宋_GBK"/>
          <w:snapToGrid/>
          <w:szCs w:val="32"/>
        </w:rPr>
        <w:t>收悉，我局进行了认真研究办理，现答复如下</w:t>
      </w:r>
      <w:r>
        <w:rPr>
          <w:rFonts w:hint="eastAsia" w:hAnsi="方正仿宋_GBK" w:cs="方正仿宋_GBK"/>
          <w:snapToGrid/>
          <w:szCs w:val="32"/>
        </w:rPr>
        <w:t>：</w:t>
      </w:r>
    </w:p>
    <w:p w14:paraId="1025DCE7">
      <w:pPr>
        <w:keepNext w:val="0"/>
        <w:keepLines w:val="0"/>
        <w:pageBreakBefore w:val="0"/>
        <w:kinsoku/>
        <w:wordWrap/>
        <w:overflowPunct/>
        <w:topLinePunct w:val="0"/>
        <w:autoSpaceDE/>
        <w:autoSpaceDN/>
        <w:bidi w:val="0"/>
        <w:adjustRightInd w:val="0"/>
        <w:spacing w:line="590" w:lineRule="exact"/>
        <w:ind w:firstLine="632" w:firstLineChars="200"/>
        <w:contextualSpacing/>
        <w:textAlignment w:val="auto"/>
        <w:rPr>
          <w:rFonts w:ascii="Times New Roman" w:hAnsi="Times New Roman"/>
          <w:snapToGrid/>
          <w:kern w:val="2"/>
          <w:szCs w:val="32"/>
        </w:rPr>
      </w:pPr>
      <w:r>
        <w:rPr>
          <w:rFonts w:hint="eastAsia" w:ascii="Times New Roman" w:hAnsi="Times New Roman"/>
          <w:snapToGrid/>
          <w:kern w:val="2"/>
          <w:szCs w:val="32"/>
        </w:rPr>
        <w:t>您的建议</w:t>
      </w:r>
      <w:r>
        <w:rPr>
          <w:rFonts w:ascii="Times New Roman" w:hAnsi="Times New Roman"/>
          <w:snapToGrid/>
          <w:kern w:val="2"/>
          <w:szCs w:val="32"/>
        </w:rPr>
        <w:t>客观反映了</w:t>
      </w:r>
      <w:r>
        <w:rPr>
          <w:rFonts w:hint="eastAsia" w:ascii="Times New Roman" w:hAnsi="Times New Roman"/>
          <w:snapToGrid/>
          <w:kern w:val="2"/>
          <w:szCs w:val="32"/>
        </w:rPr>
        <w:t>我市商圈建设过程中</w:t>
      </w:r>
      <w:r>
        <w:rPr>
          <w:rFonts w:ascii="Times New Roman" w:hAnsi="Times New Roman"/>
          <w:snapToGrid/>
          <w:kern w:val="2"/>
          <w:szCs w:val="32"/>
        </w:rPr>
        <w:t>存在的问题，并从</w:t>
      </w:r>
      <w:r>
        <w:rPr>
          <w:rFonts w:hint="eastAsia" w:ascii="Times New Roman" w:hAnsi="Times New Roman"/>
          <w:snapToGrid/>
          <w:kern w:val="2"/>
          <w:szCs w:val="32"/>
        </w:rPr>
        <w:t>优化商圈布局、改善消费环境、提升消费能级、延伸扶持政策等方面</w:t>
      </w:r>
      <w:r>
        <w:rPr>
          <w:rFonts w:ascii="Times New Roman" w:hAnsi="Times New Roman"/>
          <w:snapToGrid/>
          <w:kern w:val="2"/>
          <w:szCs w:val="32"/>
        </w:rPr>
        <w:t>提出针对性的意见建议</w:t>
      </w:r>
      <w:r>
        <w:rPr>
          <w:rFonts w:hint="eastAsia" w:ascii="Times New Roman" w:hAnsi="Times New Roman"/>
          <w:snapToGrid/>
          <w:kern w:val="2"/>
          <w:szCs w:val="32"/>
        </w:rPr>
        <w:t>，</w:t>
      </w:r>
      <w:r>
        <w:rPr>
          <w:rFonts w:ascii="Times New Roman" w:hAnsi="Times New Roman"/>
          <w:snapToGrid/>
          <w:kern w:val="2"/>
          <w:szCs w:val="32"/>
        </w:rPr>
        <w:t>对于</w:t>
      </w:r>
      <w:r>
        <w:rPr>
          <w:rFonts w:hint="eastAsia" w:ascii="Times New Roman" w:hAnsi="Times New Roman"/>
          <w:snapToGrid/>
          <w:kern w:val="2"/>
          <w:szCs w:val="32"/>
        </w:rPr>
        <w:t>指导推动</w:t>
      </w:r>
      <w:r>
        <w:rPr>
          <w:rFonts w:ascii="Times New Roman" w:hAnsi="Times New Roman"/>
          <w:snapToGrid/>
          <w:kern w:val="2"/>
          <w:szCs w:val="32"/>
        </w:rPr>
        <w:t>我市</w:t>
      </w:r>
      <w:r>
        <w:rPr>
          <w:rFonts w:hint="eastAsia" w:ascii="Times New Roman" w:hAnsi="Times New Roman"/>
          <w:snapToGrid/>
          <w:kern w:val="2"/>
          <w:szCs w:val="32"/>
        </w:rPr>
        <w:t>商圈建设</w:t>
      </w:r>
      <w:r>
        <w:rPr>
          <w:rFonts w:ascii="Times New Roman" w:hAnsi="Times New Roman"/>
          <w:snapToGrid/>
          <w:kern w:val="2"/>
          <w:szCs w:val="32"/>
        </w:rPr>
        <w:t>具有</w:t>
      </w:r>
      <w:r>
        <w:rPr>
          <w:rFonts w:hint="eastAsia" w:ascii="Times New Roman" w:hAnsi="Times New Roman"/>
          <w:snapToGrid/>
          <w:kern w:val="2"/>
          <w:szCs w:val="32"/>
        </w:rPr>
        <w:t>重要</w:t>
      </w:r>
      <w:r>
        <w:rPr>
          <w:rFonts w:ascii="Times New Roman" w:hAnsi="Times New Roman"/>
          <w:snapToGrid/>
          <w:kern w:val="2"/>
          <w:szCs w:val="32"/>
        </w:rPr>
        <w:t>意义。</w:t>
      </w:r>
      <w:r>
        <w:rPr>
          <w:rFonts w:hint="eastAsia" w:ascii="Times New Roman" w:hAnsi="Times New Roman"/>
          <w:snapToGrid/>
          <w:kern w:val="2"/>
          <w:szCs w:val="32"/>
        </w:rPr>
        <w:t>我们注重将您的建议融入实际工作中，</w:t>
      </w:r>
      <w:r>
        <w:rPr>
          <w:rFonts w:hint="eastAsia" w:ascii="Times New Roman" w:hAnsi="Times New Roman"/>
          <w:snapToGrid/>
          <w:szCs w:val="32"/>
        </w:rPr>
        <w:t>高质量推进商圈建设，不断增强南通商业资源的集聚辐射和引领带动作用，把</w:t>
      </w:r>
      <w:r>
        <w:rPr>
          <w:rFonts w:hint="eastAsia" w:ascii="Times New Roman" w:hAnsi="Times New Roman"/>
          <w:snapToGrid/>
          <w:kern w:val="2"/>
          <w:szCs w:val="32"/>
        </w:rPr>
        <w:t>南通建成</w:t>
      </w:r>
      <w:r>
        <w:rPr>
          <w:rFonts w:ascii="Times New Roman" w:hAnsi="Times New Roman"/>
          <w:snapToGrid/>
          <w:kern w:val="2"/>
          <w:szCs w:val="32"/>
        </w:rPr>
        <w:t>有活力、有特色的区域消费中心城市</w:t>
      </w:r>
      <w:r>
        <w:rPr>
          <w:rFonts w:hint="eastAsia" w:ascii="Times New Roman" w:hAnsi="Times New Roman"/>
          <w:snapToGrid/>
          <w:kern w:val="2"/>
          <w:szCs w:val="32"/>
        </w:rPr>
        <w:t>。</w:t>
      </w:r>
    </w:p>
    <w:p w14:paraId="5790C03C">
      <w:pPr>
        <w:keepNext w:val="0"/>
        <w:keepLines w:val="0"/>
        <w:pageBreakBefore w:val="0"/>
        <w:kinsoku/>
        <w:wordWrap/>
        <w:overflowPunct/>
        <w:topLinePunct w:val="0"/>
        <w:autoSpaceDE/>
        <w:autoSpaceDN/>
        <w:bidi w:val="0"/>
        <w:snapToGrid/>
        <w:spacing w:line="590" w:lineRule="exact"/>
        <w:ind w:firstLine="632" w:firstLineChars="200"/>
        <w:textAlignment w:val="auto"/>
        <w:rPr>
          <w:rFonts w:ascii="方正黑体_GBK" w:hAnsi="方正楷体_GBK" w:eastAsia="方正黑体_GBK" w:cs="方正楷体_GBK"/>
          <w:szCs w:val="32"/>
        </w:rPr>
      </w:pPr>
      <w:r>
        <w:rPr>
          <w:rFonts w:hint="eastAsia" w:ascii="方正黑体_GBK" w:hAnsi="方正楷体_GBK" w:eastAsia="方正黑体_GBK" w:cs="方正楷体_GBK"/>
          <w:szCs w:val="32"/>
        </w:rPr>
        <w:t>一、目前已开展的工作</w:t>
      </w:r>
    </w:p>
    <w:p w14:paraId="768C1CF6">
      <w:pPr>
        <w:keepNext w:val="0"/>
        <w:keepLines w:val="0"/>
        <w:pageBreakBefore w:val="0"/>
        <w:kinsoku/>
        <w:wordWrap/>
        <w:overflowPunct/>
        <w:topLinePunct w:val="0"/>
        <w:autoSpaceDE/>
        <w:autoSpaceDN/>
        <w:bidi w:val="0"/>
        <w:adjustRightInd w:val="0"/>
        <w:spacing w:line="590" w:lineRule="exact"/>
        <w:ind w:firstLine="632" w:firstLineChars="200"/>
        <w:contextualSpacing/>
        <w:textAlignment w:val="auto"/>
        <w:rPr>
          <w:rFonts w:ascii="Times New Roman" w:hAnsi="Times New Roman"/>
          <w:snapToGrid/>
          <w:kern w:val="2"/>
          <w:szCs w:val="32"/>
        </w:rPr>
      </w:pPr>
      <w:r>
        <w:rPr>
          <w:rFonts w:hint="eastAsia" w:ascii="方正楷体_GBK" w:hAnsi="方正楷体_GBK" w:eastAsia="方正楷体_GBK" w:cs="方正楷体_GBK"/>
          <w:szCs w:val="32"/>
        </w:rPr>
        <w:t>一是加强规划和策划引领，彰显商圈特色。</w:t>
      </w:r>
      <w:r>
        <w:rPr>
          <w:rFonts w:hint="eastAsia" w:ascii="Times New Roman" w:hAnsi="Times New Roman"/>
          <w:b/>
          <w:bCs/>
          <w:snapToGrid/>
          <w:kern w:val="2"/>
          <w:szCs w:val="32"/>
        </w:rPr>
        <w:t>在网点布局规划方面，</w:t>
      </w:r>
      <w:r>
        <w:rPr>
          <w:rFonts w:hint="eastAsia" w:ascii="Times New Roman" w:hAnsi="Times New Roman"/>
          <w:snapToGrid/>
          <w:kern w:val="2"/>
          <w:szCs w:val="32"/>
        </w:rPr>
        <w:t>开展新一轮城市商业网点布局规划编制，依托现有商圈发展基础和发展要素，认真梳理商圈肌理，科学规划商圈布局。指导推动通州、海门等板块开展县域商业网点布局规划（2021-2035）编制，加强国土空间总体规划衔接，立足当前商业网点发展的实际情况，解决市场主导下商业网点建设布局不合理、业态特色不明显，转型升级慢等问题。</w:t>
      </w:r>
      <w:r>
        <w:rPr>
          <w:rFonts w:hint="eastAsia" w:ascii="Times New Roman" w:hAnsi="Times New Roman"/>
          <w:b/>
          <w:bCs/>
          <w:snapToGrid/>
          <w:kern w:val="2"/>
          <w:szCs w:val="32"/>
        </w:rPr>
        <w:t>在商业策划研究方面，</w:t>
      </w:r>
      <w:r>
        <w:rPr>
          <w:rFonts w:hint="eastAsia" w:ascii="Times New Roman" w:hAnsi="Times New Roman"/>
          <w:snapToGrid/>
          <w:kern w:val="2"/>
          <w:szCs w:val="32"/>
        </w:rPr>
        <w:t>引入戴德梁行、世邦魏理仕、仲量联行等国际国内知名商业策划机构，对标区域一流，突出地方特色，统筹周边资源，开展商圈商业定位提升、业态研究和策划设计。</w:t>
      </w:r>
      <w:r>
        <w:rPr>
          <w:rFonts w:hint="eastAsia" w:ascii="Times New Roman" w:hAnsi="Times New Roman"/>
          <w:b/>
          <w:bCs/>
          <w:snapToGrid/>
          <w:kern w:val="2"/>
          <w:szCs w:val="32"/>
        </w:rPr>
        <w:t>在专业运营方面，</w:t>
      </w:r>
      <w:r>
        <w:rPr>
          <w:rFonts w:hint="eastAsia" w:ascii="Times New Roman" w:hAnsi="Times New Roman"/>
          <w:snapToGrid/>
          <w:kern w:val="2"/>
          <w:szCs w:val="32"/>
        </w:rPr>
        <w:t>鼓励本土商贸龙头企业、特色街区开发主体与具有成熟品牌运营经验的头部企业创新合作模式，依托运营商强大的品牌效应、优质的引流资源，加快品牌招引、拓展复合功能、推动转型升级。苏锡通园区就南通中心项目与春竹集团签约，依托春竹集团在头部品牌招引和城市奥莱项目运营的成功经验，导入超过240个国际国内知名品牌。通创区建设开发紫琅新天地项目，与苏州恒泰共同出资成立专业性商管公司，由恒泰公司为项目提供前期设计规划、团队组建、招商及开业筹备、开业运营等阶段的商业管理服务指导，推进知名品牌入驻，并负责专业化运营。</w:t>
      </w:r>
    </w:p>
    <w:p w14:paraId="1F197E68">
      <w:pPr>
        <w:keepNext w:val="0"/>
        <w:keepLines w:val="0"/>
        <w:pageBreakBefore w:val="0"/>
        <w:kinsoku/>
        <w:wordWrap/>
        <w:overflowPunct/>
        <w:topLinePunct w:val="0"/>
        <w:autoSpaceDE/>
        <w:autoSpaceDN/>
        <w:bidi w:val="0"/>
        <w:adjustRightInd w:val="0"/>
        <w:spacing w:line="590" w:lineRule="exact"/>
        <w:ind w:firstLine="632" w:firstLineChars="200"/>
        <w:contextualSpacing/>
        <w:textAlignment w:val="auto"/>
        <w:rPr>
          <w:rFonts w:ascii="Times New Roman" w:hAnsi="Times New Roman"/>
          <w:snapToGrid/>
          <w:kern w:val="2"/>
          <w:szCs w:val="32"/>
          <w:lang w:val="zh-TW"/>
        </w:rPr>
      </w:pPr>
      <w:r>
        <w:rPr>
          <w:rFonts w:hint="eastAsia" w:ascii="方正楷体_GBK" w:hAnsi="方正楷体_GBK" w:eastAsia="方正楷体_GBK" w:cs="方正楷体_GBK"/>
          <w:szCs w:val="32"/>
        </w:rPr>
        <w:t>二是开展设施改造和业态升级，提升服务能级。</w:t>
      </w:r>
      <w:r>
        <w:rPr>
          <w:rFonts w:hint="eastAsia" w:ascii="Times New Roman" w:hAnsi="Times New Roman"/>
          <w:snapToGrid/>
          <w:kern w:val="2"/>
          <w:szCs w:val="32"/>
        </w:rPr>
        <w:t>指导传统商圈加快改造升级、新型商圈加强品牌导入，提升服务能级。</w:t>
      </w:r>
      <w:r>
        <w:rPr>
          <w:rFonts w:hint="eastAsia" w:ascii="Times New Roman" w:hAnsi="Times New Roman"/>
          <w:b/>
          <w:bCs/>
          <w:snapToGrid/>
          <w:kern w:val="2"/>
          <w:szCs w:val="32"/>
        </w:rPr>
        <w:t>南大街商圈</w:t>
      </w:r>
      <w:r>
        <w:rPr>
          <w:rFonts w:hint="eastAsia" w:ascii="Times New Roman" w:hAnsi="Times New Roman"/>
          <w:snapToGrid/>
          <w:kern w:val="2"/>
          <w:szCs w:val="32"/>
          <w:lang w:eastAsia="zh-CN"/>
        </w:rPr>
        <w:t>“</w:t>
      </w:r>
      <w:r>
        <w:rPr>
          <w:rFonts w:hint="eastAsia" w:ascii="Times New Roman" w:hAnsi="Times New Roman"/>
          <w:snapToGrid/>
          <w:kern w:val="2"/>
          <w:szCs w:val="32"/>
        </w:rPr>
        <w:t>一街三巷</w:t>
      </w:r>
      <w:r>
        <w:rPr>
          <w:rFonts w:hint="eastAsia" w:ascii="Times New Roman" w:hAnsi="Times New Roman"/>
          <w:snapToGrid/>
          <w:kern w:val="2"/>
          <w:szCs w:val="32"/>
          <w:lang w:eastAsia="zh-CN"/>
        </w:rPr>
        <w:t>”</w:t>
      </w:r>
      <w:r>
        <w:rPr>
          <w:rFonts w:hint="eastAsia" w:ascii="Times New Roman" w:hAnsi="Times New Roman"/>
          <w:snapToGrid/>
          <w:kern w:val="2"/>
          <w:szCs w:val="32"/>
        </w:rPr>
        <w:t>完成改造升级，对中央商厦、工贸大厦、金树银花大厦、电信大楼等老旧建筑外立面进行出新改造；丁古角步行街北侧、西侧打造形象鲜明的地标入口；文峰、八佰伴等主力商户完成内部区域改造</w:t>
      </w:r>
      <w:r>
        <w:rPr>
          <w:rFonts w:hint="eastAsia" w:ascii="Times New Roman" w:hAnsi="Times New Roman"/>
          <w:snapToGrid/>
          <w:kern w:val="2"/>
          <w:szCs w:val="32"/>
          <w:lang w:val="zh-CN"/>
        </w:rPr>
        <w:t>升级，引入</w:t>
      </w:r>
      <w:r>
        <w:rPr>
          <w:rFonts w:hint="eastAsia" w:ascii="Times New Roman" w:hAnsi="Times New Roman"/>
          <w:snapToGrid/>
          <w:kern w:val="2"/>
          <w:szCs w:val="32"/>
        </w:rPr>
        <w:t>圣罗兰、</w:t>
      </w:r>
      <w:r>
        <w:rPr>
          <w:rFonts w:hint="eastAsia" w:ascii="Times New Roman" w:hAnsi="Times New Roman"/>
          <w:snapToGrid/>
          <w:kern w:val="2"/>
          <w:szCs w:val="32"/>
          <w:lang w:val="zh-CN"/>
        </w:rPr>
        <w:t>赫莲娜、积家、万宝龙等多个国际知名品牌南通首店，“传统第一商圈”地位持续巩固。</w:t>
      </w:r>
      <w:r>
        <w:rPr>
          <w:rFonts w:hint="eastAsia" w:ascii="Times New Roman" w:hAnsi="Times New Roman"/>
          <w:b/>
          <w:bCs/>
          <w:snapToGrid/>
          <w:kern w:val="2"/>
          <w:szCs w:val="32"/>
        </w:rPr>
        <w:t>北大街商圈</w:t>
      </w:r>
      <w:r>
        <w:rPr>
          <w:rFonts w:hint="eastAsia" w:ascii="Times New Roman" w:hAnsi="Times New Roman"/>
          <w:snapToGrid/>
          <w:kern w:val="2"/>
          <w:szCs w:val="32"/>
        </w:rPr>
        <w:t>依托南通万象城、圆融堤调打造</w:t>
      </w:r>
      <w:r>
        <w:rPr>
          <w:rFonts w:hint="eastAsia" w:ascii="Times New Roman" w:hAnsi="Times New Roman"/>
          <w:snapToGrid/>
          <w:kern w:val="2"/>
          <w:szCs w:val="32"/>
          <w:lang w:eastAsia="zh-CN"/>
        </w:rPr>
        <w:t>“</w:t>
      </w:r>
      <w:r>
        <w:rPr>
          <w:rFonts w:hint="eastAsia" w:ascii="Times New Roman" w:hAnsi="Times New Roman"/>
          <w:snapToGrid/>
          <w:kern w:val="2"/>
          <w:szCs w:val="32"/>
        </w:rPr>
        <w:t>青年友好型</w:t>
      </w:r>
      <w:r>
        <w:rPr>
          <w:rFonts w:hint="eastAsia" w:ascii="Times New Roman" w:hAnsi="Times New Roman"/>
          <w:snapToGrid/>
          <w:kern w:val="2"/>
          <w:szCs w:val="32"/>
          <w:lang w:eastAsia="zh-CN"/>
        </w:rPr>
        <w:t>”</w:t>
      </w:r>
      <w:r>
        <w:rPr>
          <w:rFonts w:hint="eastAsia" w:ascii="Times New Roman" w:hAnsi="Times New Roman"/>
          <w:snapToGrid/>
          <w:kern w:val="2"/>
          <w:szCs w:val="32"/>
        </w:rPr>
        <w:t>街区。今年以来，万象城新签首进品牌近30个，类别包括餐饮、服饰、休闲娱乐、生活服务，其中80%以上为南通首店。</w:t>
      </w:r>
      <w:r>
        <w:rPr>
          <w:rFonts w:hint="eastAsia" w:ascii="Times New Roman" w:hAnsi="Times New Roman"/>
          <w:b/>
          <w:bCs/>
          <w:snapToGrid/>
          <w:kern w:val="2"/>
          <w:szCs w:val="32"/>
          <w:lang w:val="zh-CN"/>
        </w:rPr>
        <w:t>市北区域性服务商圈</w:t>
      </w:r>
      <w:r>
        <w:rPr>
          <w:rFonts w:hint="eastAsia" w:ascii="Times New Roman" w:hAnsi="Times New Roman"/>
          <w:snapToGrid/>
          <w:kern w:val="2"/>
          <w:szCs w:val="32"/>
          <w:lang w:val="zh-CN"/>
        </w:rPr>
        <w:t>依托山姆会员店、宜家家居等品牌门店主打“欧美超市”购物圈，山姆会员店荣获全国最佳体验门店，宜家家居市外会员占比稳步提升，荣获全国最佳增长商场；总投资22亿元的万豪艾美和万怡酒店加快建设，预计年底前建成开业。</w:t>
      </w:r>
      <w:r>
        <w:rPr>
          <w:rFonts w:hint="eastAsia" w:ascii="Times New Roman" w:hAnsi="Times New Roman"/>
          <w:b/>
          <w:bCs/>
          <w:snapToGrid/>
          <w:kern w:val="2"/>
          <w:szCs w:val="32"/>
          <w:lang w:val="zh-CN"/>
        </w:rPr>
        <w:t>商务区商圈</w:t>
      </w:r>
      <w:r>
        <w:rPr>
          <w:rFonts w:hint="eastAsia" w:ascii="Times New Roman" w:hAnsi="Times New Roman"/>
          <w:snapToGrid/>
          <w:kern w:val="2"/>
          <w:szCs w:val="32"/>
        </w:rPr>
        <w:t>承办江苏肯帝亚队18场主场常规赛，Y-LIFE盛典群星演唱会、</w:t>
      </w:r>
      <w:r>
        <w:rPr>
          <w:rFonts w:hint="eastAsia" w:ascii="Times New Roman" w:hAnsi="Times New Roman"/>
          <w:snapToGrid/>
          <w:kern w:val="2"/>
          <w:szCs w:val="32"/>
          <w:lang w:val="zh-CN"/>
        </w:rPr>
        <w:t>“匆匆那年”群星演唱会等文体活动；星光耀广场更名为南通复悦里重装开业，焕发全新活力。</w:t>
      </w:r>
      <w:r>
        <w:rPr>
          <w:rFonts w:hint="eastAsia" w:ascii="Times New Roman" w:hAnsi="Times New Roman"/>
          <w:b/>
          <w:bCs/>
          <w:snapToGrid/>
          <w:kern w:val="2"/>
          <w:szCs w:val="32"/>
          <w:lang w:val="zh-CN"/>
        </w:rPr>
        <w:t>紫琅湖商圈</w:t>
      </w:r>
      <w:r>
        <w:rPr>
          <w:rFonts w:hint="eastAsia" w:ascii="Times New Roman" w:hAnsi="Times New Roman"/>
          <w:snapToGrid/>
          <w:kern w:val="2"/>
          <w:szCs w:val="32"/>
          <w:lang w:val="zh-CN"/>
        </w:rPr>
        <w:t>引入星巴克Green store、</w:t>
      </w:r>
      <w:r>
        <w:rPr>
          <w:rFonts w:hint="eastAsia" w:ascii="Times New Roman" w:hAnsi="Times New Roman"/>
          <w:snapToGrid/>
          <w:kern w:val="2"/>
          <w:szCs w:val="32"/>
        </w:rPr>
        <w:t>7-ELEVEn元气森林</w:t>
      </w:r>
      <w:r>
        <w:rPr>
          <w:rFonts w:hint="eastAsia" w:ascii="Times New Roman" w:hAnsi="Times New Roman"/>
          <w:snapToGrid/>
          <w:kern w:val="2"/>
          <w:szCs w:val="32"/>
          <w:lang w:val="zh-CN"/>
        </w:rPr>
        <w:t>主题店、几何书店等</w:t>
      </w:r>
      <w:r>
        <w:rPr>
          <w:rFonts w:hint="eastAsia" w:ascii="Times New Roman" w:hAnsi="Times New Roman"/>
          <w:snapToGrid/>
          <w:kern w:val="2"/>
          <w:szCs w:val="32"/>
        </w:rPr>
        <w:t>多家首店品牌，涵盖城市首店、主题首店、功能首店；承办了南通啤酒节、紫琅音乐节等多场大型演出活动；</w:t>
      </w:r>
      <w:r>
        <w:rPr>
          <w:rFonts w:hint="eastAsia" w:ascii="Times New Roman" w:hAnsi="Times New Roman"/>
          <w:snapToGrid/>
          <w:kern w:val="2"/>
          <w:szCs w:val="32"/>
          <w:lang w:val="zh-CN"/>
        </w:rPr>
        <w:t>紫琅新天地、紫琅生活汇建成开街，万豪酒店投入运营。</w:t>
      </w:r>
      <w:r>
        <w:rPr>
          <w:rFonts w:hint="eastAsia" w:ascii="Times New Roman" w:hAnsi="Times New Roman"/>
          <w:b/>
          <w:bCs/>
          <w:snapToGrid/>
          <w:kern w:val="2"/>
          <w:szCs w:val="32"/>
          <w:lang w:val="zh-CN"/>
        </w:rPr>
        <w:t>能达商务区商圈</w:t>
      </w:r>
      <w:r>
        <w:rPr>
          <w:rFonts w:hint="eastAsia" w:ascii="Times New Roman" w:hAnsi="Times New Roman"/>
          <w:snapToGrid/>
          <w:kern w:val="2"/>
          <w:szCs w:val="32"/>
          <w:lang w:val="zh-CN"/>
        </w:rPr>
        <w:t>依托星湖广场、永旺梦乐城等载体，吸引</w:t>
      </w:r>
      <w:r>
        <w:rPr>
          <w:rFonts w:hint="eastAsia" w:ascii="Times New Roman" w:hAnsi="Times New Roman"/>
          <w:snapToGrid/>
          <w:kern w:val="2"/>
          <w:szCs w:val="32"/>
        </w:rPr>
        <w:t>特色餐饮品牌以及盒马MINI落户。</w:t>
      </w:r>
      <w:r>
        <w:rPr>
          <w:rFonts w:hint="eastAsia" w:ascii="Times New Roman" w:hAnsi="Times New Roman"/>
          <w:b/>
          <w:bCs/>
          <w:snapToGrid/>
          <w:kern w:val="2"/>
          <w:szCs w:val="32"/>
          <w:lang w:val="zh-CN"/>
        </w:rPr>
        <w:t>南通中心休闲旅游商圈</w:t>
      </w:r>
      <w:r>
        <w:rPr>
          <w:rFonts w:hint="eastAsia" w:ascii="Times New Roman" w:hAnsi="Times New Roman"/>
          <w:snapToGrid/>
          <w:kern w:val="2"/>
          <w:szCs w:val="32"/>
          <w:lang w:val="zh-CN"/>
        </w:rPr>
        <w:t>奥特莱斯项目</w:t>
      </w:r>
      <w:r>
        <w:rPr>
          <w:rFonts w:hint="eastAsia" w:ascii="Times New Roman" w:hAnsi="Times New Roman"/>
          <w:snapToGrid/>
          <w:kern w:val="2"/>
          <w:szCs w:val="32"/>
        </w:rPr>
        <w:t>引入CUCCI、PRADA、BALLY等超240个国际一线品牌及国内外名品，囊括多个旗舰店和城市首店。</w:t>
      </w:r>
      <w:r>
        <w:rPr>
          <w:rFonts w:hint="eastAsia" w:ascii="Times New Roman" w:hAnsi="Times New Roman"/>
          <w:b/>
          <w:bCs/>
          <w:snapToGrid/>
          <w:kern w:val="2"/>
          <w:szCs w:val="32"/>
        </w:rPr>
        <w:t>通州区</w:t>
      </w:r>
      <w:r>
        <w:rPr>
          <w:rFonts w:hint="eastAsia" w:ascii="Times New Roman" w:hAnsi="Times New Roman"/>
          <w:snapToGrid/>
          <w:kern w:val="2"/>
          <w:szCs w:val="32"/>
          <w:lang w:val="zh-CN"/>
        </w:rPr>
        <w:t>整合</w:t>
      </w:r>
      <w:r>
        <w:rPr>
          <w:rFonts w:hint="eastAsia" w:ascii="Times New Roman" w:hAnsi="Times New Roman"/>
          <w:snapToGrid/>
          <w:kern w:val="2"/>
          <w:szCs w:val="32"/>
          <w:lang w:val="zh-TW"/>
        </w:rPr>
        <w:t>万达广场商业中心、维景国际大酒店、水街区等大型综合性商业，组织</w:t>
      </w:r>
      <w:r>
        <w:rPr>
          <w:rFonts w:hint="eastAsia" w:ascii="Times New Roman" w:hAnsi="Times New Roman"/>
          <w:snapToGrid/>
          <w:kern w:val="2"/>
          <w:szCs w:val="32"/>
          <w:lang w:val="zh-TW" w:eastAsia="zh-CN"/>
        </w:rPr>
        <w:t>“</w:t>
      </w:r>
      <w:r>
        <w:rPr>
          <w:rFonts w:hint="eastAsia" w:ascii="Times New Roman" w:hAnsi="Times New Roman"/>
          <w:snapToGrid/>
          <w:kern w:val="2"/>
          <w:szCs w:val="32"/>
          <w:lang w:val="zh-TW"/>
        </w:rPr>
        <w:t>通州之夜</w:t>
      </w:r>
      <w:r>
        <w:rPr>
          <w:rFonts w:hint="eastAsia" w:ascii="Times New Roman" w:hAnsi="Times New Roman"/>
          <w:snapToGrid/>
          <w:kern w:val="2"/>
          <w:szCs w:val="32"/>
          <w:lang w:val="zh-TW" w:eastAsia="zh-CN"/>
        </w:rPr>
        <w:t>”</w:t>
      </w:r>
      <w:r>
        <w:rPr>
          <w:rFonts w:hint="eastAsia" w:ascii="Times New Roman" w:hAnsi="Times New Roman"/>
          <w:snapToGrid/>
          <w:kern w:val="2"/>
          <w:szCs w:val="32"/>
          <w:lang w:val="zh-TW"/>
        </w:rPr>
        <w:t>文化活动，</w:t>
      </w:r>
      <w:r>
        <w:rPr>
          <w:rFonts w:hint="eastAsia" w:ascii="Times New Roman" w:hAnsi="Times New Roman"/>
          <w:snapToGrid/>
          <w:kern w:val="2"/>
          <w:szCs w:val="32"/>
          <w:lang w:val="zh-TW" w:eastAsia="zh-CN"/>
        </w:rPr>
        <w:t>“</w:t>
      </w:r>
      <w:r>
        <w:rPr>
          <w:rFonts w:hint="eastAsia" w:ascii="Times New Roman" w:hAnsi="Times New Roman"/>
          <w:snapToGrid/>
          <w:kern w:val="2"/>
          <w:szCs w:val="32"/>
          <w:lang w:val="zh-TW"/>
        </w:rPr>
        <w:t>南山湖健康跑</w:t>
      </w:r>
      <w:r>
        <w:rPr>
          <w:rFonts w:hint="eastAsia" w:ascii="Times New Roman" w:hAnsi="Times New Roman"/>
          <w:snapToGrid/>
          <w:kern w:val="2"/>
          <w:szCs w:val="32"/>
          <w:lang w:val="zh-TW" w:eastAsia="zh-CN"/>
        </w:rPr>
        <w:t>”</w:t>
      </w:r>
      <w:r>
        <w:rPr>
          <w:rFonts w:hint="eastAsia" w:ascii="Times New Roman" w:hAnsi="Times New Roman"/>
          <w:snapToGrid/>
          <w:kern w:val="2"/>
          <w:szCs w:val="32"/>
          <w:lang w:val="zh-TW"/>
        </w:rPr>
        <w:t>体育运动和</w:t>
      </w:r>
      <w:r>
        <w:rPr>
          <w:rFonts w:hint="eastAsia" w:ascii="Times New Roman" w:hAnsi="Times New Roman"/>
          <w:snapToGrid/>
          <w:kern w:val="2"/>
          <w:szCs w:val="32"/>
          <w:lang w:val="zh-TW" w:eastAsia="zh-CN"/>
        </w:rPr>
        <w:t>“</w:t>
      </w:r>
      <w:r>
        <w:rPr>
          <w:rFonts w:hint="eastAsia" w:ascii="Times New Roman" w:hAnsi="Times New Roman"/>
          <w:snapToGrid/>
          <w:kern w:val="2"/>
          <w:szCs w:val="32"/>
          <w:lang w:val="zh-TW"/>
        </w:rPr>
        <w:t>南通州</w:t>
      </w:r>
      <w:r>
        <w:rPr>
          <w:rFonts w:hint="eastAsia" w:ascii="微软雅黑" w:hAnsi="微软雅黑" w:eastAsia="微软雅黑" w:cs="微软雅黑"/>
          <w:snapToGrid/>
          <w:kern w:val="2"/>
          <w:szCs w:val="32"/>
          <w:lang w:val="zh-TW"/>
        </w:rPr>
        <w:t>･</w:t>
      </w:r>
      <w:r>
        <w:rPr>
          <w:rFonts w:hint="eastAsia" w:hAnsi="方正仿宋_GBK" w:cs="方正仿宋_GBK"/>
          <w:snapToGrid/>
          <w:kern w:val="2"/>
          <w:szCs w:val="32"/>
          <w:lang w:val="zh-TW"/>
        </w:rPr>
        <w:t>欢乐购</w:t>
      </w:r>
      <w:r>
        <w:rPr>
          <w:rFonts w:hint="eastAsia" w:hAnsi="方正仿宋_GBK" w:cs="方正仿宋_GBK"/>
          <w:snapToGrid/>
          <w:kern w:val="2"/>
          <w:szCs w:val="32"/>
          <w:lang w:val="zh-TW" w:eastAsia="zh-CN"/>
        </w:rPr>
        <w:t>”</w:t>
      </w:r>
      <w:r>
        <w:rPr>
          <w:rFonts w:hint="eastAsia" w:hAnsi="方正仿宋_GBK" w:cs="方正仿宋_GBK"/>
          <w:snapToGrid/>
          <w:kern w:val="2"/>
          <w:szCs w:val="32"/>
          <w:lang w:val="zh-TW"/>
        </w:rPr>
        <w:t>活动，打造</w:t>
      </w:r>
      <w:r>
        <w:rPr>
          <w:rFonts w:hint="eastAsia" w:hAnsi="方正仿宋_GBK" w:cs="方正仿宋_GBK"/>
          <w:snapToGrid/>
          <w:kern w:val="2"/>
          <w:szCs w:val="32"/>
          <w:lang w:val="zh-TW" w:eastAsia="zh-CN"/>
        </w:rPr>
        <w:t>“</w:t>
      </w:r>
      <w:r>
        <w:rPr>
          <w:rFonts w:hint="eastAsia" w:hAnsi="方正仿宋_GBK" w:cs="方正仿宋_GBK"/>
          <w:snapToGrid/>
          <w:kern w:val="2"/>
          <w:szCs w:val="32"/>
          <w:lang w:val="zh-TW"/>
        </w:rPr>
        <w:t>水街</w:t>
      </w:r>
      <w:r>
        <w:rPr>
          <w:rFonts w:hint="eastAsia" w:hAnsi="方正仿宋_GBK" w:cs="方正仿宋_GBK"/>
          <w:snapToGrid/>
          <w:kern w:val="2"/>
          <w:szCs w:val="32"/>
          <w:lang w:val="zh-TW" w:eastAsia="zh-CN"/>
        </w:rPr>
        <w:t>”</w:t>
      </w:r>
      <w:r>
        <w:rPr>
          <w:rFonts w:hint="eastAsia" w:hAnsi="方正仿宋_GBK" w:cs="方正仿宋_GBK"/>
          <w:snapToGrid/>
          <w:kern w:val="2"/>
          <w:szCs w:val="32"/>
          <w:lang w:val="zh-TW"/>
        </w:rPr>
        <w:t>品牌。</w:t>
      </w:r>
      <w:r>
        <w:rPr>
          <w:rFonts w:hint="eastAsia" w:ascii="Times New Roman" w:hAnsi="Times New Roman"/>
          <w:b/>
          <w:bCs/>
          <w:snapToGrid/>
          <w:kern w:val="2"/>
          <w:szCs w:val="32"/>
          <w:lang w:val="zh-TW"/>
        </w:rPr>
        <w:t>海门区</w:t>
      </w:r>
      <w:r>
        <w:rPr>
          <w:rFonts w:hint="eastAsia" w:ascii="Times New Roman" w:hAnsi="Times New Roman"/>
          <w:snapToGrid/>
          <w:kern w:val="2"/>
          <w:szCs w:val="32"/>
        </w:rPr>
        <w:t>以</w:t>
      </w:r>
      <w:r>
        <w:rPr>
          <w:rFonts w:hint="eastAsia" w:ascii="Times New Roman" w:hAnsi="Times New Roman"/>
          <w:snapToGrid/>
          <w:kern w:val="2"/>
          <w:szCs w:val="32"/>
          <w:lang w:eastAsia="zh-CN"/>
        </w:rPr>
        <w:t>“</w:t>
      </w:r>
      <w:r>
        <w:rPr>
          <w:rFonts w:hint="eastAsia" w:ascii="Times New Roman" w:hAnsi="Times New Roman"/>
          <w:snapToGrid/>
          <w:kern w:val="2"/>
          <w:szCs w:val="32"/>
        </w:rPr>
        <w:t>一示范四城市</w:t>
      </w:r>
      <w:r>
        <w:rPr>
          <w:rFonts w:hint="eastAsia" w:ascii="Times New Roman" w:hAnsi="Times New Roman"/>
          <w:snapToGrid/>
          <w:kern w:val="2"/>
          <w:szCs w:val="32"/>
          <w:lang w:eastAsia="zh-CN"/>
        </w:rPr>
        <w:t>”</w:t>
      </w:r>
      <w:r>
        <w:rPr>
          <w:rFonts w:hint="eastAsia" w:ascii="Times New Roman" w:hAnsi="Times New Roman"/>
          <w:snapToGrid/>
          <w:kern w:val="2"/>
          <w:szCs w:val="32"/>
        </w:rPr>
        <w:t>为引领，加速打造主城区和三星镇、海门港新区</w:t>
      </w:r>
      <w:r>
        <w:rPr>
          <w:rFonts w:hint="eastAsia" w:ascii="Times New Roman" w:hAnsi="Times New Roman"/>
          <w:snapToGrid/>
          <w:kern w:val="2"/>
          <w:szCs w:val="32"/>
          <w:lang w:eastAsia="zh-CN"/>
        </w:rPr>
        <w:t>“</w:t>
      </w:r>
      <w:r>
        <w:rPr>
          <w:rFonts w:hint="eastAsia" w:ascii="Times New Roman" w:hAnsi="Times New Roman"/>
          <w:snapToGrid/>
          <w:kern w:val="2"/>
          <w:szCs w:val="32"/>
        </w:rPr>
        <w:t>一主两副</w:t>
      </w:r>
      <w:r>
        <w:rPr>
          <w:rFonts w:hint="eastAsia" w:ascii="Times New Roman" w:hAnsi="Times New Roman"/>
          <w:snapToGrid/>
          <w:kern w:val="2"/>
          <w:szCs w:val="32"/>
          <w:lang w:eastAsia="zh-CN"/>
        </w:rPr>
        <w:t>”</w:t>
      </w:r>
      <w:r>
        <w:rPr>
          <w:rFonts w:hint="eastAsia" w:ascii="Times New Roman" w:hAnsi="Times New Roman"/>
          <w:snapToGrid/>
          <w:kern w:val="2"/>
          <w:szCs w:val="32"/>
        </w:rPr>
        <w:t>商业中心，优化实体商业网点布局和业态结构，提升服务能级，增强商业集聚力和辐射力。</w:t>
      </w:r>
      <w:r>
        <w:rPr>
          <w:rFonts w:hint="eastAsia" w:ascii="Times New Roman" w:hAnsi="Times New Roman"/>
          <w:b/>
          <w:bCs/>
          <w:snapToGrid/>
          <w:kern w:val="2"/>
          <w:szCs w:val="32"/>
        </w:rPr>
        <w:t>通州湾</w:t>
      </w:r>
      <w:r>
        <w:rPr>
          <w:rFonts w:ascii="Times New Roman" w:hAnsi="Times New Roman"/>
          <w:snapToGrid/>
          <w:kern w:val="2"/>
          <w:szCs w:val="32"/>
        </w:rPr>
        <w:t>全力提升青年湖商圈品质、</w:t>
      </w:r>
      <w:r>
        <w:rPr>
          <w:rFonts w:hint="eastAsia" w:ascii="Times New Roman" w:hAnsi="Times New Roman"/>
          <w:snapToGrid/>
          <w:kern w:val="2"/>
          <w:szCs w:val="32"/>
        </w:rPr>
        <w:t>品位</w:t>
      </w:r>
      <w:r>
        <w:rPr>
          <w:rFonts w:ascii="Times New Roman" w:hAnsi="Times New Roman"/>
          <w:snapToGrid/>
          <w:kern w:val="2"/>
          <w:szCs w:val="32"/>
        </w:rPr>
        <w:t>，持续招引知名连锁品牌，</w:t>
      </w:r>
      <w:r>
        <w:rPr>
          <w:rFonts w:hint="eastAsia" w:ascii="Times New Roman" w:hAnsi="Times New Roman"/>
          <w:snapToGrid/>
          <w:kern w:val="2"/>
          <w:szCs w:val="32"/>
        </w:rPr>
        <w:t>目前</w:t>
      </w:r>
      <w:r>
        <w:rPr>
          <w:rFonts w:ascii="Times New Roman" w:hAnsi="Times New Roman"/>
          <w:snapToGrid/>
          <w:kern w:val="2"/>
          <w:szCs w:val="32"/>
        </w:rPr>
        <w:t>入驻中高端商业项目12个</w:t>
      </w:r>
      <w:r>
        <w:rPr>
          <w:rFonts w:hint="eastAsia" w:ascii="Times New Roman" w:hAnsi="Times New Roman"/>
          <w:snapToGrid/>
          <w:kern w:val="2"/>
          <w:szCs w:val="32"/>
        </w:rPr>
        <w:t>，洲际假日酒店预计2025年建成开业。</w:t>
      </w:r>
    </w:p>
    <w:p w14:paraId="7296A96C">
      <w:pPr>
        <w:keepNext w:val="0"/>
        <w:keepLines w:val="0"/>
        <w:pageBreakBefore w:val="0"/>
        <w:kinsoku/>
        <w:wordWrap/>
        <w:overflowPunct/>
        <w:topLinePunct w:val="0"/>
        <w:autoSpaceDE/>
        <w:autoSpaceDN/>
        <w:bidi w:val="0"/>
        <w:snapToGrid/>
        <w:spacing w:line="590" w:lineRule="exact"/>
        <w:ind w:firstLine="632" w:firstLineChars="200"/>
        <w:textAlignment w:val="auto"/>
        <w:rPr>
          <w:rFonts w:ascii="Times New Roman" w:hAnsi="Times New Roman"/>
          <w:snapToGrid/>
          <w:kern w:val="2"/>
          <w:szCs w:val="32"/>
          <w:shd w:val="clear" w:color="auto" w:fill="FFFFFF"/>
        </w:rPr>
      </w:pPr>
      <w:r>
        <w:rPr>
          <w:rFonts w:hint="eastAsia" w:ascii="方正楷体_GBK" w:hAnsi="方正楷体_GBK" w:eastAsia="方正楷体_GBK" w:cs="方正楷体_GBK"/>
          <w:szCs w:val="32"/>
        </w:rPr>
        <w:t>三是开展消费促进活动，唱响商圈消费</w:t>
      </w:r>
      <w:r>
        <w:rPr>
          <w:rFonts w:hint="eastAsia" w:ascii="方正楷体_GBK" w:hAnsi="方正楷体_GBK" w:eastAsia="方正楷体_GBK" w:cs="方正楷体_GBK"/>
          <w:szCs w:val="32"/>
          <w:lang w:eastAsia="zh-CN"/>
        </w:rPr>
        <w:t>“</w:t>
      </w:r>
      <w:r>
        <w:rPr>
          <w:rFonts w:hint="eastAsia" w:ascii="方正楷体_GBK" w:hAnsi="方正楷体_GBK" w:eastAsia="方正楷体_GBK" w:cs="方正楷体_GBK"/>
          <w:szCs w:val="32"/>
        </w:rPr>
        <w:t>四季歌</w:t>
      </w:r>
      <w:r>
        <w:rPr>
          <w:rFonts w:hint="eastAsia" w:ascii="方正楷体_GBK" w:hAnsi="方正楷体_GBK" w:eastAsia="方正楷体_GBK" w:cs="方正楷体_GBK"/>
          <w:szCs w:val="32"/>
          <w:lang w:eastAsia="zh-CN"/>
        </w:rPr>
        <w:t>”</w:t>
      </w:r>
      <w:r>
        <w:rPr>
          <w:rFonts w:hint="eastAsia" w:ascii="方正楷体_GBK" w:hAnsi="方正楷体_GBK" w:eastAsia="方正楷体_GBK" w:cs="方正楷体_GBK"/>
          <w:szCs w:val="32"/>
        </w:rPr>
        <w:t>。</w:t>
      </w:r>
      <w:r>
        <w:rPr>
          <w:rFonts w:hint="eastAsia" w:ascii="Times New Roman" w:hAnsi="Times New Roman"/>
          <w:snapToGrid/>
          <w:kern w:val="2"/>
          <w:szCs w:val="32"/>
        </w:rPr>
        <w:t>围绕促进商圈消费，在重大节假日举办消费促进活动，为商圈集聚人气，促进</w:t>
      </w:r>
      <w:r>
        <w:rPr>
          <w:rFonts w:hint="eastAsia" w:ascii="Times New Roman" w:hAnsi="Times New Roman"/>
          <w:snapToGrid/>
          <w:kern w:val="2"/>
          <w:szCs w:val="32"/>
          <w:lang w:eastAsia="zh-CN"/>
        </w:rPr>
        <w:t>“</w:t>
      </w:r>
      <w:r>
        <w:rPr>
          <w:rFonts w:hint="eastAsia" w:ascii="Times New Roman" w:hAnsi="Times New Roman"/>
          <w:snapToGrid/>
          <w:kern w:val="2"/>
          <w:szCs w:val="32"/>
        </w:rPr>
        <w:t>客流</w:t>
      </w:r>
      <w:r>
        <w:rPr>
          <w:rFonts w:hint="eastAsia" w:ascii="Times New Roman" w:hAnsi="Times New Roman"/>
          <w:snapToGrid/>
          <w:kern w:val="2"/>
          <w:szCs w:val="32"/>
          <w:lang w:eastAsia="zh-CN"/>
        </w:rPr>
        <w:t>”</w:t>
      </w:r>
      <w:r>
        <w:rPr>
          <w:rFonts w:hint="eastAsia" w:ascii="Times New Roman" w:hAnsi="Times New Roman"/>
          <w:snapToGrid/>
          <w:kern w:val="2"/>
          <w:szCs w:val="32"/>
        </w:rPr>
        <w:t>转化为</w:t>
      </w:r>
      <w:r>
        <w:rPr>
          <w:rFonts w:hint="eastAsia" w:ascii="Times New Roman" w:hAnsi="Times New Roman"/>
          <w:snapToGrid/>
          <w:kern w:val="2"/>
          <w:szCs w:val="32"/>
          <w:lang w:eastAsia="zh-CN"/>
        </w:rPr>
        <w:t>“</w:t>
      </w:r>
      <w:r>
        <w:rPr>
          <w:rFonts w:hint="eastAsia" w:ascii="Times New Roman" w:hAnsi="Times New Roman"/>
          <w:snapToGrid/>
          <w:kern w:val="2"/>
          <w:szCs w:val="32"/>
        </w:rPr>
        <w:t>商流</w:t>
      </w:r>
      <w:r>
        <w:rPr>
          <w:rFonts w:hint="eastAsia" w:ascii="Times New Roman" w:hAnsi="Times New Roman"/>
          <w:snapToGrid/>
          <w:kern w:val="2"/>
          <w:szCs w:val="32"/>
          <w:lang w:eastAsia="zh-CN"/>
        </w:rPr>
        <w:t>”</w:t>
      </w:r>
      <w:r>
        <w:rPr>
          <w:rFonts w:hint="eastAsia" w:ascii="Times New Roman" w:hAnsi="Times New Roman"/>
          <w:snapToGrid/>
          <w:kern w:val="2"/>
          <w:szCs w:val="32"/>
        </w:rPr>
        <w:t>。春节前后举办了</w:t>
      </w:r>
      <w:r>
        <w:rPr>
          <w:rFonts w:hint="eastAsia" w:ascii="Times New Roman" w:hAnsi="Times New Roman"/>
          <w:snapToGrid/>
          <w:kern w:val="2"/>
          <w:szCs w:val="32"/>
          <w:lang w:eastAsia="zh-CN"/>
        </w:rPr>
        <w:t>“</w:t>
      </w:r>
      <w:r>
        <w:rPr>
          <w:rFonts w:hint="eastAsia" w:ascii="Times New Roman" w:hAnsi="Times New Roman"/>
          <w:snapToGrid/>
          <w:kern w:val="2"/>
          <w:szCs w:val="32"/>
        </w:rPr>
        <w:t>新春优品购物节</w:t>
      </w:r>
      <w:r>
        <w:rPr>
          <w:rFonts w:hint="eastAsia" w:ascii="Times New Roman" w:hAnsi="Times New Roman"/>
          <w:snapToGrid/>
          <w:kern w:val="2"/>
          <w:szCs w:val="32"/>
          <w:lang w:eastAsia="zh-CN"/>
        </w:rPr>
        <w:t>”“</w:t>
      </w:r>
      <w:r>
        <w:rPr>
          <w:rFonts w:hint="eastAsia" w:ascii="Times New Roman" w:hAnsi="Times New Roman"/>
          <w:snapToGrid/>
          <w:kern w:val="2"/>
          <w:szCs w:val="32"/>
        </w:rPr>
        <w:t>约惠暖冬·欢乐过年</w:t>
      </w:r>
      <w:r>
        <w:rPr>
          <w:rFonts w:hint="eastAsia" w:ascii="Times New Roman" w:hAnsi="Times New Roman"/>
          <w:snapToGrid/>
          <w:kern w:val="2"/>
          <w:szCs w:val="32"/>
          <w:lang w:eastAsia="zh-CN"/>
        </w:rPr>
        <w:t>”“</w:t>
      </w:r>
      <w:r>
        <w:rPr>
          <w:rFonts w:hint="eastAsia" w:ascii="Times New Roman" w:hAnsi="Times New Roman"/>
          <w:snapToGrid/>
          <w:kern w:val="2"/>
          <w:szCs w:val="32"/>
        </w:rPr>
        <w:t>龙腾江海过大年</w:t>
      </w:r>
      <w:r>
        <w:rPr>
          <w:rFonts w:hint="eastAsia" w:ascii="Times New Roman" w:hAnsi="Times New Roman"/>
          <w:snapToGrid/>
          <w:kern w:val="2"/>
          <w:szCs w:val="32"/>
          <w:lang w:eastAsia="zh-CN"/>
        </w:rPr>
        <w:t>”</w:t>
      </w:r>
      <w:r>
        <w:rPr>
          <w:rFonts w:hint="eastAsia" w:ascii="Times New Roman" w:hAnsi="Times New Roman"/>
          <w:snapToGrid/>
          <w:kern w:val="2"/>
          <w:szCs w:val="32"/>
        </w:rPr>
        <w:t>系列促消费活动，开展汽车消费补贴、住宿餐饮</w:t>
      </w:r>
      <w:r>
        <w:rPr>
          <w:rFonts w:hint="eastAsia" w:ascii="Times New Roman" w:hAnsi="Times New Roman"/>
          <w:snapToGrid/>
          <w:kern w:val="2"/>
          <w:szCs w:val="32"/>
          <w:lang w:eastAsia="zh-CN"/>
        </w:rPr>
        <w:t>“</w:t>
      </w:r>
      <w:r>
        <w:rPr>
          <w:rFonts w:hint="eastAsia" w:ascii="Times New Roman" w:hAnsi="Times New Roman"/>
          <w:snapToGrid/>
          <w:kern w:val="2"/>
          <w:szCs w:val="32"/>
        </w:rPr>
        <w:t>有奖发票</w:t>
      </w:r>
      <w:r>
        <w:rPr>
          <w:rFonts w:hint="eastAsia" w:ascii="Times New Roman" w:hAnsi="Times New Roman"/>
          <w:snapToGrid/>
          <w:kern w:val="2"/>
          <w:szCs w:val="32"/>
          <w:lang w:eastAsia="zh-CN"/>
        </w:rPr>
        <w:t>”</w:t>
      </w:r>
      <w:r>
        <w:rPr>
          <w:rFonts w:hint="eastAsia" w:ascii="Times New Roman" w:hAnsi="Times New Roman"/>
          <w:snapToGrid/>
          <w:kern w:val="2"/>
          <w:szCs w:val="32"/>
        </w:rPr>
        <w:t>等活动。春节期间，主要商圈60家重点监测的商贸流通企业实现销售额6.6亿元，同比增长11.8%。3月底启动2024南通市暖春焕新季暨第三届苏新消费家电家装嘉年华，联动家电厂商、金融机构开展家电、家具以旧换新活动。6月份启动2024年南通市</w:t>
      </w:r>
      <w:r>
        <w:rPr>
          <w:rFonts w:hint="eastAsia" w:ascii="Times New Roman" w:hAnsi="Times New Roman"/>
          <w:snapToGrid/>
          <w:kern w:val="2"/>
          <w:szCs w:val="32"/>
          <w:lang w:eastAsia="zh-CN"/>
        </w:rPr>
        <w:t>“</w:t>
      </w:r>
      <w:r>
        <w:rPr>
          <w:rFonts w:hint="eastAsia" w:ascii="Times New Roman" w:hAnsi="Times New Roman"/>
          <w:snapToGrid/>
          <w:kern w:val="2"/>
          <w:szCs w:val="32"/>
        </w:rPr>
        <w:t>江海有情·南通有请</w:t>
      </w:r>
      <w:r>
        <w:rPr>
          <w:rFonts w:hint="eastAsia" w:ascii="Times New Roman" w:hAnsi="Times New Roman"/>
          <w:snapToGrid/>
          <w:kern w:val="2"/>
          <w:szCs w:val="32"/>
          <w:lang w:eastAsia="zh-CN"/>
        </w:rPr>
        <w:t>”</w:t>
      </w:r>
      <w:r>
        <w:rPr>
          <w:rFonts w:hint="eastAsia" w:ascii="Times New Roman" w:hAnsi="Times New Roman"/>
          <w:snapToGrid/>
          <w:kern w:val="2"/>
          <w:szCs w:val="32"/>
        </w:rPr>
        <w:t>——夏日约</w:t>
      </w:r>
      <w:r>
        <w:rPr>
          <w:rFonts w:hint="eastAsia" w:ascii="Times New Roman" w:hAnsi="Times New Roman"/>
          <w:snapToGrid/>
          <w:kern w:val="2"/>
          <w:szCs w:val="32"/>
          <w:lang w:eastAsia="zh-CN"/>
        </w:rPr>
        <w:t>“</w:t>
      </w:r>
      <w:r>
        <w:rPr>
          <w:rFonts w:hint="eastAsia" w:ascii="Times New Roman" w:hAnsi="Times New Roman"/>
          <w:snapToGrid/>
          <w:kern w:val="2"/>
          <w:szCs w:val="32"/>
        </w:rPr>
        <w:t>惠</w:t>
      </w:r>
      <w:r>
        <w:rPr>
          <w:rFonts w:hint="eastAsia" w:ascii="Times New Roman" w:hAnsi="Times New Roman"/>
          <w:snapToGrid/>
          <w:kern w:val="2"/>
          <w:szCs w:val="32"/>
          <w:lang w:eastAsia="zh-CN"/>
        </w:rPr>
        <w:t>”</w:t>
      </w:r>
      <w:r>
        <w:rPr>
          <w:rFonts w:hint="eastAsia" w:ascii="Times New Roman" w:hAnsi="Times New Roman"/>
          <w:snapToGrid/>
          <w:kern w:val="2"/>
          <w:szCs w:val="32"/>
        </w:rPr>
        <w:t>系列促消费活动，更好满足市民多元化消费需求。9月份启动约惠金秋促消费系列活动，以市区重点商圈、热门景点为主体推出特色活动，为市民游客打造缤纷秋季。</w:t>
      </w:r>
    </w:p>
    <w:p w14:paraId="66E03170">
      <w:pPr>
        <w:keepNext w:val="0"/>
        <w:keepLines w:val="0"/>
        <w:pageBreakBefore w:val="0"/>
        <w:kinsoku/>
        <w:wordWrap/>
        <w:overflowPunct/>
        <w:topLinePunct w:val="0"/>
        <w:autoSpaceDE/>
        <w:autoSpaceDN/>
        <w:bidi w:val="0"/>
        <w:snapToGrid/>
        <w:spacing w:line="590" w:lineRule="exact"/>
        <w:ind w:firstLine="632" w:firstLineChars="200"/>
        <w:textAlignment w:val="auto"/>
        <w:rPr>
          <w:rFonts w:ascii="Times New Roman" w:hAnsi="Times New Roman"/>
          <w:bCs/>
          <w:snapToGrid/>
          <w:kern w:val="2"/>
          <w:szCs w:val="32"/>
          <w:shd w:val="clear" w:color="auto" w:fill="FFFFFF"/>
        </w:rPr>
      </w:pPr>
      <w:r>
        <w:rPr>
          <w:rFonts w:hint="eastAsia" w:ascii="方正楷体_GBK" w:hAnsi="方正楷体_GBK" w:eastAsia="方正楷体_GBK" w:cs="方正楷体_GBK"/>
          <w:szCs w:val="32"/>
        </w:rPr>
        <w:t>四是发挥政策导向作用，引导各类主体投资建设。</w:t>
      </w:r>
      <w:r>
        <w:rPr>
          <w:rFonts w:hint="eastAsia" w:ascii="Times New Roman" w:hAnsi="Times New Roman"/>
          <w:bCs/>
          <w:snapToGrid/>
          <w:kern w:val="2"/>
          <w:szCs w:val="32"/>
          <w:shd w:val="clear" w:color="auto" w:fill="FFFFFF"/>
        </w:rPr>
        <w:t>将商圈建设作为重点工作之一，统筹安排各类专项资金，加大对重点领域、重点项目、重点企业的支持。出台《关于建设</w:t>
      </w:r>
      <w:r>
        <w:rPr>
          <w:rFonts w:hint="eastAsia" w:ascii="Times New Roman" w:hAnsi="Times New Roman"/>
          <w:bCs/>
          <w:snapToGrid/>
          <w:kern w:val="2"/>
          <w:szCs w:val="32"/>
          <w:shd w:val="clear" w:color="auto" w:fill="FFFFFF"/>
          <w:lang w:eastAsia="zh-CN"/>
        </w:rPr>
        <w:t>“</w:t>
      </w:r>
      <w:r>
        <w:rPr>
          <w:rFonts w:hint="eastAsia" w:ascii="Times New Roman" w:hAnsi="Times New Roman"/>
          <w:bCs/>
          <w:snapToGrid/>
          <w:kern w:val="2"/>
          <w:szCs w:val="32"/>
          <w:shd w:val="clear" w:color="auto" w:fill="FFFFFF"/>
        </w:rPr>
        <w:t>四大商圈、两大集群</w:t>
      </w:r>
      <w:r>
        <w:rPr>
          <w:rFonts w:hint="eastAsia" w:ascii="Times New Roman" w:hAnsi="Times New Roman"/>
          <w:bCs/>
          <w:snapToGrid/>
          <w:kern w:val="2"/>
          <w:szCs w:val="32"/>
          <w:shd w:val="clear" w:color="auto" w:fill="FFFFFF"/>
          <w:lang w:eastAsia="zh-CN"/>
        </w:rPr>
        <w:t>”</w:t>
      </w:r>
      <w:r>
        <w:rPr>
          <w:rFonts w:hint="eastAsia" w:ascii="Times New Roman" w:hAnsi="Times New Roman"/>
          <w:bCs/>
          <w:snapToGrid/>
          <w:kern w:val="2"/>
          <w:szCs w:val="32"/>
          <w:shd w:val="clear" w:color="auto" w:fill="FFFFFF"/>
        </w:rPr>
        <w:t>的实施方案》，对重点商圈的基础设施改造、知名品牌招引、首店经济发展、消费促进活动等提供全方位的支持，引导各类市场主体和社会资本参与商圈建设。</w:t>
      </w:r>
    </w:p>
    <w:p w14:paraId="70C4BDBD">
      <w:pPr>
        <w:keepNext w:val="0"/>
        <w:keepLines w:val="0"/>
        <w:pageBreakBefore w:val="0"/>
        <w:kinsoku/>
        <w:wordWrap/>
        <w:overflowPunct/>
        <w:topLinePunct w:val="0"/>
        <w:autoSpaceDE/>
        <w:autoSpaceDN/>
        <w:bidi w:val="0"/>
        <w:spacing w:line="590" w:lineRule="exact"/>
        <w:ind w:firstLine="632" w:firstLineChars="200"/>
        <w:textAlignment w:val="auto"/>
        <w:rPr>
          <w:rFonts w:ascii="方正黑体_GBK" w:hAnsi="方正黑体_GBK" w:eastAsia="方正黑体_GBK" w:cs="方正黑体_GBK"/>
          <w:szCs w:val="32"/>
        </w:rPr>
      </w:pPr>
      <w:r>
        <w:rPr>
          <w:rFonts w:hint="eastAsia" w:ascii="方正黑体_GBK" w:hAnsi="方正黑体_GBK" w:eastAsia="方正黑体_GBK" w:cs="方正黑体_GBK"/>
          <w:szCs w:val="32"/>
        </w:rPr>
        <w:t>二、下阶段工作举措</w:t>
      </w:r>
    </w:p>
    <w:p w14:paraId="029D2ED3">
      <w:pPr>
        <w:keepNext w:val="0"/>
        <w:keepLines w:val="0"/>
        <w:pageBreakBefore w:val="0"/>
        <w:kinsoku/>
        <w:wordWrap/>
        <w:overflowPunct/>
        <w:topLinePunct w:val="0"/>
        <w:autoSpaceDE/>
        <w:autoSpaceDN/>
        <w:bidi w:val="0"/>
        <w:snapToGrid/>
        <w:spacing w:line="590" w:lineRule="exact"/>
        <w:ind w:firstLine="632" w:firstLineChars="200"/>
        <w:textAlignment w:val="auto"/>
        <w:rPr>
          <w:rFonts w:ascii="Times New Roman" w:hAnsi="Times New Roman"/>
          <w:bCs/>
          <w:snapToGrid/>
          <w:kern w:val="2"/>
          <w:szCs w:val="32"/>
          <w:shd w:val="clear" w:color="auto" w:fill="FFFFFF"/>
        </w:rPr>
      </w:pPr>
      <w:r>
        <w:rPr>
          <w:rFonts w:hint="eastAsia" w:ascii="Times New Roman" w:hAnsi="Times New Roman"/>
          <w:bCs/>
          <w:snapToGrid/>
          <w:kern w:val="2"/>
          <w:szCs w:val="32"/>
          <w:shd w:val="clear" w:color="auto" w:fill="FFFFFF"/>
        </w:rPr>
        <w:t>下一步，我们将积极吸收您</w:t>
      </w:r>
      <w:r>
        <w:rPr>
          <w:rFonts w:ascii="Times New Roman" w:hAnsi="Times New Roman"/>
          <w:bCs/>
          <w:snapToGrid/>
          <w:kern w:val="2"/>
          <w:szCs w:val="32"/>
          <w:shd w:val="clear" w:color="auto" w:fill="FFFFFF"/>
        </w:rPr>
        <w:t>的</w:t>
      </w:r>
      <w:r>
        <w:rPr>
          <w:rFonts w:hint="eastAsia" w:ascii="Times New Roman" w:hAnsi="Times New Roman"/>
          <w:bCs/>
          <w:snapToGrid/>
          <w:kern w:val="2"/>
          <w:szCs w:val="32"/>
          <w:shd w:val="clear" w:color="auto" w:fill="FFFFFF"/>
        </w:rPr>
        <w:t>建议，借鉴周边城市发展经验，以布局规划、项目推进、活动引领、政策扶持为主要抓手，持续推进商圈建设。</w:t>
      </w:r>
    </w:p>
    <w:p w14:paraId="40ABD166">
      <w:pPr>
        <w:keepNext w:val="0"/>
        <w:keepLines w:val="0"/>
        <w:pageBreakBefore w:val="0"/>
        <w:kinsoku/>
        <w:wordWrap/>
        <w:overflowPunct/>
        <w:topLinePunct w:val="0"/>
        <w:autoSpaceDE/>
        <w:autoSpaceDN/>
        <w:bidi w:val="0"/>
        <w:snapToGrid/>
        <w:spacing w:line="590" w:lineRule="exact"/>
        <w:ind w:firstLine="632" w:firstLineChars="200"/>
        <w:textAlignment w:val="auto"/>
        <w:rPr>
          <w:rFonts w:ascii="Times New Roman" w:hAnsi="Times New Roman"/>
          <w:szCs w:val="32"/>
        </w:rPr>
      </w:pPr>
      <w:r>
        <w:rPr>
          <w:rFonts w:hint="eastAsia" w:ascii="Calibri" w:eastAsia="楷体_GB2312"/>
        </w:rPr>
        <w:t>一是持续优化布局。</w:t>
      </w:r>
      <w:r>
        <w:rPr>
          <w:rFonts w:hint="eastAsia" w:hAnsi="方正仿宋_GBK" w:cs="方正仿宋_GBK"/>
          <w:szCs w:val="32"/>
        </w:rPr>
        <w:t>支持各大商圈开展专项策划设计，对商圈核心区块进行功能设置和业态定位，引导各商圈结合实际情况加强建设，不断丰富商圈消费业态、培育商圈消费热点、打造商圈消费地标、提升商圈消费品质。</w:t>
      </w:r>
      <w:r>
        <w:rPr>
          <w:rFonts w:hint="eastAsia" w:ascii="Times New Roman" w:hAnsi="Times New Roman"/>
        </w:rPr>
        <w:t>进一步</w:t>
      </w:r>
      <w:r>
        <w:rPr>
          <w:rFonts w:ascii="Times New Roman" w:hAnsi="Times New Roman"/>
        </w:rPr>
        <w:t>聚焦商圈布局完善、重点项目打造和新兴消费培育，打造服务功能完备、交通环境通畅、特色文化</w:t>
      </w:r>
      <w:r>
        <w:rPr>
          <w:rFonts w:hint="eastAsia" w:ascii="Times New Roman" w:hAnsi="Times New Roman"/>
        </w:rPr>
        <w:t>彰显</w:t>
      </w:r>
      <w:r>
        <w:rPr>
          <w:rFonts w:ascii="Times New Roman" w:hAnsi="Times New Roman"/>
        </w:rPr>
        <w:t>的</w:t>
      </w:r>
      <w:r>
        <w:rPr>
          <w:rFonts w:hint="eastAsia" w:ascii="Times New Roman" w:hAnsi="Times New Roman"/>
        </w:rPr>
        <w:t>品质</w:t>
      </w:r>
      <w:r>
        <w:rPr>
          <w:rFonts w:ascii="Times New Roman" w:hAnsi="Times New Roman"/>
        </w:rPr>
        <w:t>商圈</w:t>
      </w:r>
      <w:r>
        <w:rPr>
          <w:rFonts w:hint="eastAsia" w:ascii="Times New Roman" w:hAnsi="Times New Roman"/>
          <w:szCs w:val="32"/>
        </w:rPr>
        <w:t>。</w:t>
      </w:r>
    </w:p>
    <w:p w14:paraId="182B1E60">
      <w:pPr>
        <w:keepNext w:val="0"/>
        <w:keepLines w:val="0"/>
        <w:pageBreakBefore w:val="0"/>
        <w:kinsoku/>
        <w:wordWrap/>
        <w:overflowPunct/>
        <w:topLinePunct w:val="0"/>
        <w:autoSpaceDE/>
        <w:autoSpaceDN/>
        <w:bidi w:val="0"/>
        <w:snapToGrid/>
        <w:spacing w:line="590" w:lineRule="exact"/>
        <w:ind w:firstLine="632" w:firstLineChars="200"/>
        <w:textAlignment w:val="auto"/>
        <w:rPr>
          <w:rFonts w:hAnsi="方正仿宋_GBK" w:cs="方正仿宋_GBK"/>
          <w:szCs w:val="32"/>
        </w:rPr>
      </w:pPr>
      <w:r>
        <w:rPr>
          <w:rFonts w:hint="eastAsia" w:ascii="Calibri" w:eastAsia="楷体_GB2312"/>
        </w:rPr>
        <w:t>二是加快项目推进。</w:t>
      </w:r>
      <w:r>
        <w:rPr>
          <w:rFonts w:hint="eastAsia" w:hAnsi="方正仿宋_GBK" w:cs="方正仿宋_GBK"/>
          <w:szCs w:val="32"/>
        </w:rPr>
        <w:t>持续推动南大街交通环境优化和主力商家外立面改造，深入推进南通中心（奥特莱斯、南通名品馆）等高端商业载体建设，</w:t>
      </w:r>
      <w:r>
        <w:rPr>
          <w:rFonts w:hAnsi="方正仿宋_GBK" w:cs="方正仿宋_GBK"/>
          <w:szCs w:val="32"/>
        </w:rPr>
        <w:t>确保如期建成开业</w:t>
      </w:r>
      <w:r>
        <w:rPr>
          <w:rFonts w:hint="eastAsia" w:hAnsi="方正仿宋_GBK" w:cs="方正仿宋_GBK"/>
          <w:szCs w:val="32"/>
        </w:rPr>
        <w:t>。</w:t>
      </w:r>
      <w:r>
        <w:rPr>
          <w:rFonts w:ascii="Times New Roman" w:hAnsi="Times New Roman"/>
          <w:snapToGrid/>
          <w:kern w:val="2"/>
          <w:szCs w:val="32"/>
        </w:rPr>
        <w:t>大力招引国际高端品牌、国内一线品牌、时尚前沿品牌的首店、旗舰店等，提升零售业态品质。</w:t>
      </w:r>
      <w:r>
        <w:rPr>
          <w:rFonts w:hint="eastAsia" w:hAnsi="方正仿宋_GBK" w:cs="方正仿宋_GBK"/>
          <w:szCs w:val="32"/>
        </w:rPr>
        <w:t>打造环濠河及五山片区精品酒店、精致餐饮集群，推动同派酒店、崇海饭店项目尽快投用，加大</w:t>
      </w:r>
      <w:r>
        <w:rPr>
          <w:rFonts w:hint="eastAsia" w:hAnsi="方正仿宋_GBK" w:cs="方正仿宋_GBK"/>
          <w:szCs w:val="32"/>
          <w:lang w:eastAsia="zh-CN"/>
        </w:rPr>
        <w:t>“</w:t>
      </w:r>
      <w:r>
        <w:rPr>
          <w:rFonts w:hint="eastAsia" w:hAnsi="方正仿宋_GBK" w:cs="方正仿宋_GBK"/>
          <w:szCs w:val="32"/>
        </w:rPr>
        <w:t>米其林</w:t>
      </w:r>
      <w:r>
        <w:rPr>
          <w:rFonts w:hint="eastAsia" w:hAnsi="方正仿宋_GBK" w:cs="方正仿宋_GBK"/>
          <w:szCs w:val="32"/>
          <w:lang w:eastAsia="zh-CN"/>
        </w:rPr>
        <w:t>”“</w:t>
      </w:r>
      <w:r>
        <w:rPr>
          <w:rFonts w:hint="eastAsia" w:hAnsi="方正仿宋_GBK" w:cs="方正仿宋_GBK"/>
          <w:szCs w:val="32"/>
        </w:rPr>
        <w:t>黑珍珠</w:t>
      </w:r>
      <w:r>
        <w:rPr>
          <w:rFonts w:hint="eastAsia" w:hAnsi="方正仿宋_GBK" w:cs="方正仿宋_GBK"/>
          <w:szCs w:val="32"/>
          <w:lang w:eastAsia="zh-CN"/>
        </w:rPr>
        <w:t>”</w:t>
      </w:r>
      <w:r>
        <w:rPr>
          <w:rFonts w:hint="eastAsia" w:hAnsi="方正仿宋_GBK" w:cs="方正仿宋_GBK"/>
          <w:szCs w:val="32"/>
        </w:rPr>
        <w:t>餐厅的招引和培育力度</w:t>
      </w:r>
      <w:r>
        <w:rPr>
          <w:rFonts w:hint="eastAsia" w:ascii="Times New Roman" w:hAnsi="Times New Roman" w:cs="方正仿宋_GBK"/>
          <w:snapToGrid/>
          <w:kern w:val="2"/>
          <w:szCs w:val="32"/>
        </w:rPr>
        <w:t>。</w:t>
      </w:r>
    </w:p>
    <w:p w14:paraId="2116649B">
      <w:pPr>
        <w:keepNext w:val="0"/>
        <w:keepLines w:val="0"/>
        <w:pageBreakBefore w:val="0"/>
        <w:kinsoku/>
        <w:wordWrap/>
        <w:overflowPunct/>
        <w:topLinePunct w:val="0"/>
        <w:bidi w:val="0"/>
        <w:spacing w:line="590" w:lineRule="exact"/>
        <w:ind w:firstLine="632" w:firstLineChars="200"/>
        <w:textAlignment w:val="auto"/>
        <w:rPr>
          <w:rFonts w:ascii="Times New Roman" w:hAnsi="Times New Roman"/>
          <w:snapToGrid/>
          <w:kern w:val="2"/>
          <w:szCs w:val="32"/>
        </w:rPr>
      </w:pPr>
      <w:r>
        <w:rPr>
          <w:rFonts w:hint="eastAsia" w:ascii="方正楷体_GBK" w:hAnsi="方正楷体_GBK" w:eastAsia="方正楷体_GBK" w:cs="方正楷体_GBK"/>
          <w:kern w:val="2"/>
          <w:szCs w:val="32"/>
        </w:rPr>
        <w:t>三是加大消费促进。</w:t>
      </w:r>
      <w:r>
        <w:rPr>
          <w:rFonts w:hint="eastAsia" w:ascii="Times New Roman" w:hAnsi="Times New Roman"/>
          <w:snapToGrid/>
          <w:kern w:val="2"/>
          <w:szCs w:val="32"/>
        </w:rPr>
        <w:t>突出品质消费，拉动高端消费，吸引外来消费，在重点商圈组织开展商圈购物节、</w:t>
      </w:r>
      <w:r>
        <w:rPr>
          <w:rFonts w:ascii="Times New Roman" w:hAnsi="Times New Roman"/>
          <w:snapToGrid/>
          <w:kern w:val="2"/>
          <w:szCs w:val="32"/>
        </w:rPr>
        <w:t>江海美食节</w:t>
      </w:r>
      <w:r>
        <w:rPr>
          <w:rFonts w:hint="eastAsia" w:ascii="Times New Roman" w:hAnsi="Times New Roman"/>
          <w:snapToGrid/>
          <w:kern w:val="2"/>
          <w:szCs w:val="32"/>
        </w:rPr>
        <w:t>等系列</w:t>
      </w:r>
      <w:r>
        <w:rPr>
          <w:rFonts w:ascii="Times New Roman" w:hAnsi="Times New Roman"/>
          <w:snapToGrid/>
          <w:kern w:val="2"/>
          <w:szCs w:val="32"/>
        </w:rPr>
        <w:t>促消费</w:t>
      </w:r>
      <w:r>
        <w:rPr>
          <w:rFonts w:hint="eastAsia" w:ascii="Times New Roman" w:hAnsi="Times New Roman"/>
          <w:snapToGrid/>
          <w:kern w:val="2"/>
          <w:szCs w:val="32"/>
        </w:rPr>
        <w:t>活动，全力推进</w:t>
      </w:r>
      <w:r>
        <w:rPr>
          <w:rFonts w:ascii="Times New Roman" w:hAnsi="Times New Roman"/>
          <w:snapToGrid/>
          <w:kern w:val="2"/>
          <w:szCs w:val="32"/>
        </w:rPr>
        <w:t>我市</w:t>
      </w:r>
      <w:r>
        <w:rPr>
          <w:rFonts w:hint="eastAsia" w:ascii="Times New Roman" w:hAnsi="Times New Roman"/>
          <w:snapToGrid/>
          <w:kern w:val="2"/>
          <w:szCs w:val="32"/>
        </w:rPr>
        <w:t>商圈</w:t>
      </w:r>
      <w:r>
        <w:rPr>
          <w:rFonts w:ascii="Times New Roman" w:hAnsi="Times New Roman"/>
          <w:snapToGrid/>
          <w:kern w:val="2"/>
          <w:szCs w:val="32"/>
        </w:rPr>
        <w:t>购物休闲</w:t>
      </w:r>
      <w:r>
        <w:rPr>
          <w:rFonts w:hint="eastAsia" w:ascii="Times New Roman" w:hAnsi="Times New Roman"/>
          <w:snapToGrid/>
          <w:kern w:val="2"/>
          <w:szCs w:val="32"/>
        </w:rPr>
        <w:t>、</w:t>
      </w:r>
      <w:r>
        <w:rPr>
          <w:rFonts w:ascii="Times New Roman" w:hAnsi="Times New Roman"/>
          <w:snapToGrid/>
          <w:kern w:val="2"/>
          <w:szCs w:val="32"/>
        </w:rPr>
        <w:t>住宿</w:t>
      </w:r>
      <w:r>
        <w:rPr>
          <w:rFonts w:hint="eastAsia" w:ascii="Times New Roman" w:hAnsi="Times New Roman"/>
          <w:snapToGrid/>
          <w:kern w:val="2"/>
          <w:szCs w:val="32"/>
        </w:rPr>
        <w:t>餐饮</w:t>
      </w:r>
      <w:r>
        <w:rPr>
          <w:rFonts w:ascii="Times New Roman" w:hAnsi="Times New Roman"/>
          <w:snapToGrid/>
          <w:kern w:val="2"/>
          <w:szCs w:val="32"/>
        </w:rPr>
        <w:t>繁荣</w:t>
      </w:r>
      <w:r>
        <w:rPr>
          <w:rFonts w:hint="eastAsia" w:ascii="Times New Roman" w:hAnsi="Times New Roman"/>
          <w:snapToGrid/>
          <w:kern w:val="2"/>
          <w:szCs w:val="32"/>
        </w:rPr>
        <w:t>发展</w:t>
      </w:r>
      <w:r>
        <w:rPr>
          <w:rFonts w:ascii="Times New Roman" w:hAnsi="Times New Roman"/>
          <w:snapToGrid/>
          <w:kern w:val="2"/>
          <w:szCs w:val="32"/>
        </w:rPr>
        <w:t>。</w:t>
      </w:r>
    </w:p>
    <w:p w14:paraId="0C21E9BC">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pacing w:line="590" w:lineRule="exact"/>
        <w:textAlignment w:val="auto"/>
        <w:rPr>
          <w:rFonts w:ascii="Arial" w:hAnsi="Arial" w:cs="Arial"/>
          <w:kern w:val="2"/>
          <w:sz w:val="21"/>
          <w:szCs w:val="21"/>
        </w:rPr>
      </w:pPr>
      <w:r>
        <w:rPr>
          <w:rFonts w:hint="eastAsia" w:ascii="方正楷体_GBK" w:hAnsi="方正楷体_GBK" w:eastAsia="方正楷体_GBK" w:cs="方正楷体_GBK"/>
          <w:kern w:val="2"/>
          <w:szCs w:val="32"/>
        </w:rPr>
        <w:t>四是加力政策支持。</w:t>
      </w:r>
      <w:r>
        <w:rPr>
          <w:rFonts w:hint="eastAsia" w:ascii="Times New Roman" w:hAnsi="Times New Roman"/>
          <w:snapToGrid/>
          <w:kern w:val="2"/>
          <w:szCs w:val="32"/>
        </w:rPr>
        <w:t>发挥政策支持导向作用，</w:t>
      </w:r>
      <w:r>
        <w:rPr>
          <w:rFonts w:ascii="Times New Roman" w:hAnsi="Times New Roman"/>
          <w:snapToGrid/>
          <w:kern w:val="2"/>
          <w:szCs w:val="32"/>
        </w:rPr>
        <w:t>支持重点</w:t>
      </w:r>
      <w:r>
        <w:rPr>
          <w:rFonts w:hint="eastAsia" w:ascii="Times New Roman" w:hAnsi="Times New Roman"/>
          <w:snapToGrid/>
          <w:kern w:val="2"/>
          <w:szCs w:val="32"/>
        </w:rPr>
        <w:t>商贸</w:t>
      </w:r>
      <w:r>
        <w:rPr>
          <w:rFonts w:ascii="Times New Roman" w:hAnsi="Times New Roman"/>
          <w:snapToGrid/>
          <w:kern w:val="2"/>
          <w:szCs w:val="32"/>
        </w:rPr>
        <w:t>企业参与区域消费中心城市创建、步行街改造提升、首店经济发展、消费促进等系列活动。推动零售业创新转型，引导大型商场、品牌连锁超市等实体商业线上线下同步发展，创建智慧商店。</w:t>
      </w:r>
      <w:r>
        <w:rPr>
          <w:rFonts w:hint="eastAsia" w:ascii="Times New Roman" w:hAnsi="Times New Roman"/>
          <w:snapToGrid/>
          <w:kern w:val="2"/>
          <w:szCs w:val="32"/>
        </w:rPr>
        <w:t>研究在政策中增加</w:t>
      </w:r>
      <w:r>
        <w:rPr>
          <w:rFonts w:ascii="Times New Roman" w:hAnsi="Times New Roman"/>
          <w:snapToGrid/>
          <w:kern w:val="2"/>
          <w:szCs w:val="32"/>
        </w:rPr>
        <w:t>对品牌连锁企业发展壮大、品牌24小时便利店发展、商贸</w:t>
      </w:r>
      <w:r>
        <w:rPr>
          <w:rFonts w:hint="eastAsia" w:ascii="Times New Roman" w:hAnsi="Times New Roman"/>
          <w:snapToGrid/>
          <w:kern w:val="2"/>
          <w:szCs w:val="32"/>
        </w:rPr>
        <w:t>集聚</w:t>
      </w:r>
      <w:r>
        <w:rPr>
          <w:rFonts w:ascii="Times New Roman" w:hAnsi="Times New Roman"/>
          <w:snapToGrid/>
          <w:kern w:val="2"/>
          <w:szCs w:val="32"/>
        </w:rPr>
        <w:t>平台转型升级等</w:t>
      </w:r>
      <w:r>
        <w:rPr>
          <w:rFonts w:hint="eastAsia" w:ascii="Times New Roman" w:hAnsi="Times New Roman"/>
          <w:snapToGrid/>
          <w:kern w:val="2"/>
          <w:szCs w:val="32"/>
        </w:rPr>
        <w:t>方面的</w:t>
      </w:r>
      <w:r>
        <w:rPr>
          <w:rFonts w:ascii="Times New Roman" w:hAnsi="Times New Roman"/>
          <w:snapToGrid/>
          <w:kern w:val="2"/>
          <w:szCs w:val="32"/>
        </w:rPr>
        <w:t>支持</w:t>
      </w:r>
      <w:r>
        <w:rPr>
          <w:rFonts w:hint="eastAsia" w:ascii="Times New Roman" w:hAnsi="Times New Roman"/>
          <w:snapToGrid/>
          <w:kern w:val="2"/>
          <w:szCs w:val="32"/>
        </w:rPr>
        <w:t>内容。</w:t>
      </w:r>
    </w:p>
    <w:p w14:paraId="17031882">
      <w:pPr>
        <w:pStyle w:val="9"/>
        <w:keepNext w:val="0"/>
        <w:keepLines w:val="0"/>
        <w:pageBreakBefore w:val="0"/>
        <w:kinsoku/>
        <w:wordWrap/>
        <w:overflowPunct/>
        <w:topLinePunct w:val="0"/>
        <w:bidi w:val="0"/>
        <w:spacing w:line="590" w:lineRule="exact"/>
        <w:jc w:val="both"/>
        <w:textAlignment w:val="auto"/>
        <w:rPr>
          <w:rFonts w:ascii="Times New Roman" w:hAnsi="Times New Roman"/>
          <w:snapToGrid/>
          <w:kern w:val="2"/>
          <w:szCs w:val="32"/>
        </w:rPr>
      </w:pPr>
      <w:r>
        <w:rPr>
          <w:rFonts w:hint="eastAsia" w:ascii="Times New Roman" w:hAnsi="Times New Roman"/>
          <w:snapToGrid/>
          <w:kern w:val="2"/>
          <w:szCs w:val="32"/>
        </w:rPr>
        <w:t>专此</w:t>
      </w:r>
      <w:r>
        <w:rPr>
          <w:rFonts w:ascii="Times New Roman" w:hAnsi="Times New Roman"/>
          <w:snapToGrid/>
          <w:kern w:val="2"/>
          <w:szCs w:val="32"/>
        </w:rPr>
        <w:t>答复。</w:t>
      </w:r>
    </w:p>
    <w:p w14:paraId="6238543A">
      <w:pPr>
        <w:pStyle w:val="9"/>
        <w:keepNext w:val="0"/>
        <w:keepLines w:val="0"/>
        <w:pageBreakBefore w:val="0"/>
        <w:kinsoku/>
        <w:wordWrap/>
        <w:overflowPunct/>
        <w:topLinePunct w:val="0"/>
        <w:bidi w:val="0"/>
        <w:spacing w:line="590" w:lineRule="exact"/>
        <w:jc w:val="both"/>
        <w:textAlignment w:val="auto"/>
        <w:rPr>
          <w:rFonts w:ascii="Times New Roman" w:hAnsi="Times New Roman" w:cs="Times New Roman"/>
        </w:rPr>
      </w:pPr>
    </w:p>
    <w:p w14:paraId="3DD7DD2C">
      <w:pPr>
        <w:pStyle w:val="9"/>
        <w:keepNext w:val="0"/>
        <w:keepLines w:val="0"/>
        <w:pageBreakBefore w:val="0"/>
        <w:kinsoku/>
        <w:wordWrap/>
        <w:overflowPunct/>
        <w:topLinePunct w:val="0"/>
        <w:bidi w:val="0"/>
        <w:spacing w:line="590" w:lineRule="exact"/>
        <w:jc w:val="both"/>
        <w:textAlignment w:val="auto"/>
        <w:rPr>
          <w:rFonts w:ascii="Times New Roman" w:hAnsi="Times New Roman" w:cs="Times New Roman"/>
        </w:rPr>
      </w:pPr>
      <w:bookmarkStart w:id="22" w:name="_GoBack"/>
      <w:bookmarkEnd w:id="22"/>
    </w:p>
    <w:p w14:paraId="080FF4C9">
      <w:pPr>
        <w:pStyle w:val="9"/>
        <w:keepNext w:val="0"/>
        <w:keepLines w:val="0"/>
        <w:pageBreakBefore w:val="0"/>
        <w:kinsoku/>
        <w:wordWrap/>
        <w:overflowPunct/>
        <w:topLinePunct w:val="0"/>
        <w:bidi w:val="0"/>
        <w:spacing w:line="590" w:lineRule="exact"/>
        <w:jc w:val="both"/>
        <w:textAlignment w:val="auto"/>
        <w:rPr>
          <w:rFonts w:ascii="Times New Roman" w:hAnsi="Times New Roman" w:cs="Times New Roman"/>
        </w:rPr>
      </w:pPr>
    </w:p>
    <w:p w14:paraId="380A20F3">
      <w:pPr>
        <w:keepNext w:val="0"/>
        <w:keepLines w:val="0"/>
        <w:pageBreakBefore w:val="0"/>
        <w:kinsoku/>
        <w:wordWrap/>
        <w:overflowPunct/>
        <w:topLinePunct w:val="0"/>
        <w:bidi w:val="0"/>
        <w:spacing w:line="590" w:lineRule="exact"/>
        <w:textAlignment w:val="auto"/>
        <w:rPr>
          <w:rFonts w:ascii="Times New Roman" w:hAnsi="Times New Roman"/>
          <w:snapToGrid/>
          <w:szCs w:val="32"/>
        </w:rPr>
      </w:pPr>
      <w:r>
        <w:rPr>
          <w:rFonts w:ascii="Times New Roman" w:hAnsi="Times New Roman"/>
          <w:snapToGrid/>
          <w:szCs w:val="32"/>
        </w:rPr>
        <w:t xml:space="preserve">  </w:t>
      </w:r>
      <w:r>
        <w:rPr>
          <w:rFonts w:hint="eastAsia" w:ascii="Times New Roman" w:hAnsi="Times New Roman"/>
          <w:snapToGrid/>
          <w:szCs w:val="32"/>
        </w:rPr>
        <w:t xml:space="preserve">                            </w:t>
      </w:r>
      <w:r>
        <w:rPr>
          <w:rFonts w:ascii="Times New Roman" w:hAnsi="Times New Roman"/>
          <w:snapToGrid/>
          <w:szCs w:val="32"/>
        </w:rPr>
        <w:t>南通市商务局</w:t>
      </w:r>
    </w:p>
    <w:p w14:paraId="0211D789">
      <w:pPr>
        <w:keepNext w:val="0"/>
        <w:keepLines w:val="0"/>
        <w:pageBreakBefore w:val="0"/>
        <w:kinsoku/>
        <w:wordWrap/>
        <w:overflowPunct/>
        <w:topLinePunct w:val="0"/>
        <w:bidi w:val="0"/>
        <w:spacing w:line="590" w:lineRule="exact"/>
        <w:ind w:firstLine="740"/>
        <w:textAlignment w:val="auto"/>
        <w:rPr>
          <w:rFonts w:ascii="Times New Roman" w:hAnsi="Times New Roman"/>
          <w:snapToGrid/>
          <w:szCs w:val="32"/>
        </w:rPr>
      </w:pPr>
      <w:r>
        <w:rPr>
          <w:rFonts w:hint="eastAsia" w:ascii="Times New Roman" w:hAnsi="Times New Roman"/>
          <w:snapToGrid/>
          <w:szCs w:val="32"/>
        </w:rPr>
        <w:t xml:space="preserve">                             </w:t>
      </w:r>
      <w:r>
        <w:rPr>
          <w:rFonts w:ascii="Times New Roman" w:hAnsi="Times New Roman"/>
          <w:snapToGrid/>
          <w:szCs w:val="32"/>
        </w:rPr>
        <w:t>2024年9月</w:t>
      </w:r>
      <w:r>
        <w:rPr>
          <w:rFonts w:hint="eastAsia" w:ascii="Times New Roman" w:hAnsi="Times New Roman"/>
          <w:snapToGrid/>
          <w:szCs w:val="32"/>
          <w:lang w:val="en-US" w:eastAsia="zh-CN"/>
        </w:rPr>
        <w:t>25</w:t>
      </w:r>
      <w:r>
        <w:rPr>
          <w:rFonts w:ascii="Times New Roman" w:hAnsi="Times New Roman"/>
          <w:snapToGrid/>
          <w:szCs w:val="32"/>
        </w:rPr>
        <w:t>日</w:t>
      </w:r>
    </w:p>
    <w:p w14:paraId="5D10404D">
      <w:pPr>
        <w:keepNext w:val="0"/>
        <w:keepLines w:val="0"/>
        <w:pageBreakBefore w:val="0"/>
        <w:kinsoku/>
        <w:wordWrap/>
        <w:overflowPunct/>
        <w:topLinePunct w:val="0"/>
        <w:bidi w:val="0"/>
        <w:spacing w:line="590" w:lineRule="exact"/>
        <w:ind w:firstLine="0"/>
        <w:textAlignment w:val="auto"/>
        <w:rPr>
          <w:rFonts w:ascii="Times New Roman" w:hAnsi="Times New Roman"/>
          <w:snapToGrid/>
          <w:szCs w:val="32"/>
        </w:rPr>
      </w:pPr>
    </w:p>
    <w:p w14:paraId="5B3AB391">
      <w:pPr>
        <w:keepNext w:val="0"/>
        <w:keepLines w:val="0"/>
        <w:pageBreakBefore w:val="0"/>
        <w:kinsoku/>
        <w:wordWrap/>
        <w:overflowPunct/>
        <w:topLinePunct w:val="0"/>
        <w:bidi w:val="0"/>
        <w:spacing w:line="590" w:lineRule="exact"/>
        <w:ind w:firstLine="0"/>
        <w:textAlignment w:val="auto"/>
        <w:rPr>
          <w:rFonts w:ascii="Times New Roman" w:hAnsi="Times New Roman"/>
          <w:snapToGrid/>
          <w:szCs w:val="32"/>
        </w:rPr>
      </w:pPr>
    </w:p>
    <w:p w14:paraId="03AF2EB3">
      <w:pPr>
        <w:keepNext w:val="0"/>
        <w:keepLines w:val="0"/>
        <w:pageBreakBefore w:val="0"/>
        <w:kinsoku/>
        <w:wordWrap/>
        <w:overflowPunct/>
        <w:topLinePunct w:val="0"/>
        <w:bidi w:val="0"/>
        <w:spacing w:line="590" w:lineRule="exact"/>
        <w:ind w:firstLine="0"/>
        <w:textAlignment w:val="auto"/>
        <w:rPr>
          <w:rFonts w:ascii="Times New Roman" w:hAnsi="Times New Roman"/>
          <w:snapToGrid/>
          <w:szCs w:val="32"/>
        </w:rPr>
      </w:pPr>
    </w:p>
    <w:p w14:paraId="1E8E5E48">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7F723D92">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32FF6B4B">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6AF2C1E8">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3857D74D">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33DFF32F">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p>
    <w:p w14:paraId="75450F36">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r>
        <w:rPr>
          <w:rFonts w:ascii="Times New Roman" w:hAnsi="Times New Roman"/>
        </w:rPr>
        <w:t>联 系 人：</w:t>
      </w:r>
      <w:r>
        <w:rPr>
          <w:rFonts w:hint="eastAsia" w:ascii="Times New Roman" w:hAnsi="Times New Roman"/>
        </w:rPr>
        <w:t>余德容</w:t>
      </w:r>
    </w:p>
    <w:p w14:paraId="52B5D8C8">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r>
        <w:rPr>
          <w:rFonts w:ascii="Times New Roman" w:hAnsi="Times New Roman"/>
        </w:rPr>
        <w:t>联系电话：85</w:t>
      </w:r>
      <w:r>
        <w:rPr>
          <w:rFonts w:hint="eastAsia" w:ascii="Times New Roman" w:hAnsi="Times New Roman"/>
        </w:rPr>
        <w:t>2156</w:t>
      </w:r>
      <w:r>
        <w:rPr>
          <w:rFonts w:ascii="Times New Roman" w:hAnsi="Times New Roman"/>
        </w:rPr>
        <w:t>26</w:t>
      </w:r>
    </w:p>
    <w:p w14:paraId="682E43BA">
      <w:pPr>
        <w:keepNext w:val="0"/>
        <w:keepLines w:val="0"/>
        <w:pageBreakBefore w:val="0"/>
        <w:kinsoku/>
        <w:wordWrap/>
        <w:overflowPunct/>
        <w:topLinePunct w:val="0"/>
        <w:bidi w:val="0"/>
        <w:spacing w:line="590" w:lineRule="exact"/>
        <w:ind w:left="0" w:leftChars="0" w:firstLine="0" w:firstLineChars="0"/>
        <w:textAlignment w:val="auto"/>
        <w:rPr>
          <w:rFonts w:ascii="Times New Roman" w:hAnsi="Times New Roman"/>
        </w:rPr>
      </w:pPr>
      <w:r>
        <w:rPr>
          <w:rFonts w:hint="eastAsia" w:ascii="Times New Roman" w:hAnsi="Times New Roman"/>
        </w:rPr>
        <w:t>抄    送：市人大常委会人事代表委员会、市政府办公室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89F84">
    <w:pPr>
      <w:pStyle w:val="7"/>
      <w:rPr>
        <w:rFonts w:hAnsi="Times New Roman"/>
      </w:rPr>
    </w:pPr>
    <w:r>
      <w:rPr>
        <w:rFonts w:hAnsi="Times New Roman"/>
      </w:rPr>
      <w:t xml:space="preserve">— </w:t>
    </w:r>
    <w:r>
      <w:rPr>
        <w:rFonts w:hAnsi="Times New Roman"/>
      </w:rPr>
      <w:fldChar w:fldCharType="begin"/>
    </w:r>
    <w:r>
      <w:rPr>
        <w:rFonts w:hAnsi="Times New Roman"/>
      </w:rPr>
      <w:instrText xml:space="preserve"> PAGE </w:instrText>
    </w:r>
    <w:r>
      <w:rPr>
        <w:rFonts w:hAnsi="Times New Roman"/>
      </w:rPr>
      <w:fldChar w:fldCharType="separate"/>
    </w:r>
    <w:r>
      <w:rPr>
        <w:rFonts w:hAnsi="Times New Roman"/>
      </w:rPr>
      <w:t>3</w:t>
    </w:r>
    <w:r>
      <w:rPr>
        <w:rFonts w:hAnsi="Times New Roman"/>
      </w:rPr>
      <w:fldChar w:fldCharType="end"/>
    </w:r>
    <w:r>
      <w:rPr>
        <w:rFonts w:hAnsi="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DBF50">
    <w:pPr>
      <w:pStyle w:val="7"/>
      <w:ind w:right="560"/>
      <w:jc w:val="both"/>
      <w:rPr>
        <w:rFonts w:hAnsi="Times New Roman"/>
      </w:rPr>
    </w:pPr>
    <w:r>
      <w:rPr>
        <w:rFonts w:hAnsi="Times New Roman"/>
      </w:rPr>
      <w:t xml:space="preserve">— </w:t>
    </w:r>
    <w:r>
      <w:rPr>
        <w:rFonts w:hAnsi="Times New Roman"/>
      </w:rPr>
      <w:fldChar w:fldCharType="begin"/>
    </w:r>
    <w:r>
      <w:rPr>
        <w:rFonts w:hAnsi="Times New Roman"/>
      </w:rPr>
      <w:instrText xml:space="preserve"> PAGE </w:instrText>
    </w:r>
    <w:r>
      <w:rPr>
        <w:rFonts w:hAnsi="Times New Roman"/>
      </w:rPr>
      <w:fldChar w:fldCharType="separate"/>
    </w:r>
    <w:r>
      <w:rPr>
        <w:rFonts w:hAnsi="Times New Roman"/>
      </w:rPr>
      <w:t>2</w:t>
    </w:r>
    <w:r>
      <w:rPr>
        <w:rFonts w:hAnsi="Times New Roman"/>
      </w:rPr>
      <w:fldChar w:fldCharType="end"/>
    </w:r>
    <w:r>
      <w:rPr>
        <w:rFonts w:hAnsi="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5421A">
    <w:pPr>
      <w:pStyle w:val="20"/>
      <w:snapToGrid w:val="0"/>
      <w:spacing w:after="120" w:line="120" w:lineRule="atLeast"/>
      <w:ind w:left="-57" w:right="-57"/>
      <w:rPr>
        <w:rFonts w:ascii="宋体"/>
      </w:rPr>
    </w:pPr>
    <w:r>
      <w:rPr>
        <w:rFonts w:ascii="宋体" w:hAnsi="汉鼎简仿宋"/>
      </w:rPr>
      <w:object>
        <v:shape id="_x0000_i1026" o:spt="75" type="#_x0000_t75" style="height:6pt;width:445.5pt;" o:ole="t" fillcolor="#6D6D6D" filled="f" o:preferrelative="t" stroked="f" coordsize="21600,21600">
          <v:path/>
          <v:fill on="f" focussize="0,0"/>
          <v:stroke on="f" joinstyle="miter"/>
          <v:imagedata r:id="rId2" o:title=""/>
          <o:lock v:ext="edit" aspectratio="t"/>
          <w10:wrap type="none"/>
          <w10:anchorlock/>
        </v:shape>
        <o:OLEObject Type="Embed" ProgID="Word.Picture.8" ShapeID="_x0000_i1026"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2EE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bidi w:val="0"/>
      <w:adjustRightInd/>
      <w:snapToGrid w:val="0"/>
      <w:spacing w:line="440" w:lineRule="exact"/>
      <w:ind w:firstLine="624"/>
      <w:jc w:val="right"/>
      <w:textAlignment w:val="auto"/>
      <w:rPr>
        <w:rFonts w:ascii="方正黑体_GBK" w:hAnsi="方正黑体_GBK" w:eastAsia="方正黑体_GBK" w:cs="方正黑体_GBK"/>
        <w:snapToGrid/>
        <w:szCs w:val="32"/>
      </w:rPr>
    </w:pPr>
    <w:r>
      <w:rPr>
        <w:rFonts w:hint="eastAsia" w:ascii="方正黑体_GBK" w:hAnsi="方正黑体_GBK" w:eastAsia="方正黑体_GBK" w:cs="方正黑体_GBK"/>
        <w:snapToGrid/>
        <w:szCs w:val="32"/>
      </w:rPr>
      <w:t>A</w:t>
    </w:r>
  </w:p>
  <w:p w14:paraId="72BEDFF7">
    <w:pPr>
      <w:pStyle w:val="8"/>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bidi w:val="0"/>
      <w:adjustRightInd/>
      <w:snapToGrid w:val="0"/>
      <w:spacing w:line="440" w:lineRule="exact"/>
      <w:ind w:firstLine="624"/>
      <w:jc w:val="right"/>
      <w:textAlignment w:val="auto"/>
    </w:pPr>
    <w:r>
      <w:rPr>
        <w:rFonts w:hint="eastAsia" w:ascii="方正黑体_GBK" w:hAnsi="方正黑体_GBK" w:eastAsia="方正黑体_GBK" w:cs="方正黑体_GBK"/>
        <w:snapToGrid/>
        <w:sz w:val="32"/>
        <w:szCs w:val="32"/>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5YmI3ODY2MDc0ZDkyZGJhYWU3NzM0ZGIzNjRmYzMifQ=="/>
  </w:docVars>
  <w:rsids>
    <w:rsidRoot w:val="335D7515"/>
    <w:rsid w:val="00016C15"/>
    <w:rsid w:val="00026B24"/>
    <w:rsid w:val="000433F0"/>
    <w:rsid w:val="00052090"/>
    <w:rsid w:val="00073484"/>
    <w:rsid w:val="000A08E7"/>
    <w:rsid w:val="000D05AF"/>
    <w:rsid w:val="000E5011"/>
    <w:rsid w:val="0011031D"/>
    <w:rsid w:val="00141171"/>
    <w:rsid w:val="00224B21"/>
    <w:rsid w:val="00224CEE"/>
    <w:rsid w:val="002E5B14"/>
    <w:rsid w:val="00300B79"/>
    <w:rsid w:val="00304EB5"/>
    <w:rsid w:val="00314A33"/>
    <w:rsid w:val="00331BC2"/>
    <w:rsid w:val="00362577"/>
    <w:rsid w:val="0037319F"/>
    <w:rsid w:val="003B2102"/>
    <w:rsid w:val="003E3EDF"/>
    <w:rsid w:val="003F2247"/>
    <w:rsid w:val="00405395"/>
    <w:rsid w:val="004708DB"/>
    <w:rsid w:val="00483704"/>
    <w:rsid w:val="00493D23"/>
    <w:rsid w:val="00497A18"/>
    <w:rsid w:val="004C27CB"/>
    <w:rsid w:val="004D206B"/>
    <w:rsid w:val="00501537"/>
    <w:rsid w:val="00506D30"/>
    <w:rsid w:val="00534131"/>
    <w:rsid w:val="00567D95"/>
    <w:rsid w:val="00583418"/>
    <w:rsid w:val="0064023B"/>
    <w:rsid w:val="0067407B"/>
    <w:rsid w:val="0068424F"/>
    <w:rsid w:val="006B27A1"/>
    <w:rsid w:val="006B5013"/>
    <w:rsid w:val="00700379"/>
    <w:rsid w:val="00705BC5"/>
    <w:rsid w:val="007257D5"/>
    <w:rsid w:val="00765A10"/>
    <w:rsid w:val="0077109A"/>
    <w:rsid w:val="00771ED7"/>
    <w:rsid w:val="00786A63"/>
    <w:rsid w:val="007B040E"/>
    <w:rsid w:val="007E002C"/>
    <w:rsid w:val="007E1CA7"/>
    <w:rsid w:val="007E25B0"/>
    <w:rsid w:val="00803269"/>
    <w:rsid w:val="008052ED"/>
    <w:rsid w:val="00805685"/>
    <w:rsid w:val="00891182"/>
    <w:rsid w:val="008A1C0D"/>
    <w:rsid w:val="008B4F4D"/>
    <w:rsid w:val="008C1371"/>
    <w:rsid w:val="008E324F"/>
    <w:rsid w:val="00902312"/>
    <w:rsid w:val="0094773E"/>
    <w:rsid w:val="009568CF"/>
    <w:rsid w:val="0096741C"/>
    <w:rsid w:val="0097303B"/>
    <w:rsid w:val="00982475"/>
    <w:rsid w:val="00993108"/>
    <w:rsid w:val="00A36005"/>
    <w:rsid w:val="00AA7C07"/>
    <w:rsid w:val="00B1197A"/>
    <w:rsid w:val="00B52D8E"/>
    <w:rsid w:val="00B5536C"/>
    <w:rsid w:val="00B61886"/>
    <w:rsid w:val="00BB0FB6"/>
    <w:rsid w:val="00BB3630"/>
    <w:rsid w:val="00C014AA"/>
    <w:rsid w:val="00C40C13"/>
    <w:rsid w:val="00C57C56"/>
    <w:rsid w:val="00C60D1D"/>
    <w:rsid w:val="00C801B9"/>
    <w:rsid w:val="00CB42CB"/>
    <w:rsid w:val="00CC3ECD"/>
    <w:rsid w:val="00CD4DE2"/>
    <w:rsid w:val="00CF0B61"/>
    <w:rsid w:val="00CF2A62"/>
    <w:rsid w:val="00CF7B43"/>
    <w:rsid w:val="00D20286"/>
    <w:rsid w:val="00D41A24"/>
    <w:rsid w:val="00D76B0F"/>
    <w:rsid w:val="00D819E4"/>
    <w:rsid w:val="00DB63BB"/>
    <w:rsid w:val="00DC7571"/>
    <w:rsid w:val="00E00085"/>
    <w:rsid w:val="00E04343"/>
    <w:rsid w:val="00E40CBC"/>
    <w:rsid w:val="00E57847"/>
    <w:rsid w:val="00E80A70"/>
    <w:rsid w:val="00E80B8E"/>
    <w:rsid w:val="00ED239F"/>
    <w:rsid w:val="00ED25D5"/>
    <w:rsid w:val="00ED3910"/>
    <w:rsid w:val="00ED687C"/>
    <w:rsid w:val="00F242A5"/>
    <w:rsid w:val="00F40F9F"/>
    <w:rsid w:val="00F47B5B"/>
    <w:rsid w:val="00F5160D"/>
    <w:rsid w:val="00F53CF5"/>
    <w:rsid w:val="00F612A0"/>
    <w:rsid w:val="00F92049"/>
    <w:rsid w:val="00FD65C3"/>
    <w:rsid w:val="00FF69BC"/>
    <w:rsid w:val="0A200B7B"/>
    <w:rsid w:val="0AA01072"/>
    <w:rsid w:val="13AB238F"/>
    <w:rsid w:val="164107F7"/>
    <w:rsid w:val="176C743C"/>
    <w:rsid w:val="186A203A"/>
    <w:rsid w:val="188E5359"/>
    <w:rsid w:val="1E5063A1"/>
    <w:rsid w:val="244E7A1E"/>
    <w:rsid w:val="278B7E3F"/>
    <w:rsid w:val="28267917"/>
    <w:rsid w:val="28BA26E7"/>
    <w:rsid w:val="2B563884"/>
    <w:rsid w:val="2D0A14EA"/>
    <w:rsid w:val="309D5FEA"/>
    <w:rsid w:val="30D51ABF"/>
    <w:rsid w:val="330B5ED8"/>
    <w:rsid w:val="335D7515"/>
    <w:rsid w:val="34F768D2"/>
    <w:rsid w:val="36201528"/>
    <w:rsid w:val="37E6581D"/>
    <w:rsid w:val="39BA2D80"/>
    <w:rsid w:val="3B31543D"/>
    <w:rsid w:val="3B6B264B"/>
    <w:rsid w:val="416D4BE4"/>
    <w:rsid w:val="4440141F"/>
    <w:rsid w:val="459C6139"/>
    <w:rsid w:val="49DF091C"/>
    <w:rsid w:val="4A5E2A1E"/>
    <w:rsid w:val="5A3B0686"/>
    <w:rsid w:val="5C79253A"/>
    <w:rsid w:val="5F1F168D"/>
    <w:rsid w:val="6D486436"/>
    <w:rsid w:val="72201EA6"/>
    <w:rsid w:val="783D5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99"/>
    <w:pPr>
      <w:adjustRightInd w:val="0"/>
      <w:snapToGrid/>
      <w:ind w:firstLine="0"/>
      <w:jc w:val="left"/>
    </w:pPr>
    <w:rPr>
      <w:spacing w:val="-25"/>
    </w:rPr>
  </w:style>
  <w:style w:type="paragraph" w:styleId="6">
    <w:name w:val="Balloon Text"/>
    <w:basedOn w:val="1"/>
    <w:link w:val="24"/>
    <w:qFormat/>
    <w:uiPriority w:val="0"/>
    <w:pPr>
      <w:spacing w:line="240" w:lineRule="auto"/>
    </w:pPr>
    <w:rPr>
      <w:sz w:val="18"/>
      <w:szCs w:val="18"/>
    </w:rPr>
  </w:style>
  <w:style w:type="paragraph" w:styleId="7">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8">
    <w:name w:val="header"/>
    <w:basedOn w:val="1"/>
    <w:qFormat/>
    <w:uiPriority w:val="0"/>
    <w:pPr>
      <w:pBdr>
        <w:bottom w:val="single" w:color="auto" w:sz="6" w:space="1"/>
      </w:pBdr>
      <w:tabs>
        <w:tab w:val="center" w:pos="4153"/>
        <w:tab w:val="right" w:pos="8306"/>
      </w:tabs>
      <w:spacing w:line="240" w:lineRule="atLeast"/>
      <w:jc w:val="center"/>
    </w:pPr>
    <w:rPr>
      <w:sz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10">
    <w:name w:val="Normal (Web)"/>
    <w:basedOn w:val="1"/>
    <w:unhideWhenUsed/>
    <w:qFormat/>
    <w:uiPriority w:val="99"/>
    <w:pPr>
      <w:widowControl/>
      <w:autoSpaceDE/>
      <w:autoSpaceDN/>
      <w:snapToGrid/>
      <w:spacing w:before="100" w:beforeAutospacing="1" w:after="100" w:afterAutospacing="1" w:line="240" w:lineRule="auto"/>
      <w:ind w:firstLine="0"/>
      <w:jc w:val="left"/>
    </w:pPr>
    <w:rPr>
      <w:rFonts w:ascii="宋体" w:hAnsi="宋体" w:eastAsia="宋体" w:cs="宋体"/>
      <w:snapToGrid/>
      <w:sz w:val="24"/>
      <w:szCs w:val="24"/>
    </w:r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unhideWhenUsed/>
    <w:qFormat/>
    <w:uiPriority w:val="99"/>
    <w:rPr>
      <w:color w:val="0000FF"/>
      <w:u w:val="single"/>
    </w:rPr>
  </w:style>
  <w:style w:type="paragraph" w:styleId="16">
    <w:name w:val="List Paragraph"/>
    <w:basedOn w:val="1"/>
    <w:qFormat/>
    <w:uiPriority w:val="34"/>
    <w:pPr>
      <w:ind w:firstLine="420" w:firstLineChars="200"/>
    </w:pPr>
  </w:style>
  <w:style w:type="paragraph" w:customStyle="1" w:styleId="17">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8">
    <w:name w:val="标题2"/>
    <w:basedOn w:val="1"/>
    <w:next w:val="1"/>
    <w:qFormat/>
    <w:uiPriority w:val="0"/>
    <w:pPr>
      <w:ind w:firstLine="0"/>
      <w:jc w:val="center"/>
    </w:pPr>
    <w:rPr>
      <w:rFonts w:ascii="方正楷体_GBK" w:hAnsi="Book Antiqua" w:eastAsia="方正楷体_GBK"/>
    </w:rPr>
  </w:style>
  <w:style w:type="paragraph" w:customStyle="1" w:styleId="19">
    <w:name w:val="文头"/>
    <w:basedOn w:val="20"/>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20">
    <w:name w:val="红线"/>
    <w:basedOn w:val="1"/>
    <w:qFormat/>
    <w:uiPriority w:val="0"/>
    <w:pPr>
      <w:adjustRightInd w:val="0"/>
      <w:snapToGrid/>
      <w:spacing w:after="170" w:line="227" w:lineRule="atLeast"/>
      <w:ind w:firstLine="0"/>
      <w:jc w:val="center"/>
    </w:pPr>
    <w:rPr>
      <w:sz w:val="10"/>
    </w:rPr>
  </w:style>
  <w:style w:type="paragraph" w:customStyle="1" w:styleId="21">
    <w:name w:val="标题3"/>
    <w:basedOn w:val="1"/>
    <w:next w:val="1"/>
    <w:qFormat/>
    <w:uiPriority w:val="0"/>
    <w:rPr>
      <w:rFonts w:ascii="方正黑体_GBK" w:eastAsia="方正黑体_GBK"/>
    </w:rPr>
  </w:style>
  <w:style w:type="paragraph" w:customStyle="1" w:styleId="22">
    <w:name w:val="主题词"/>
    <w:basedOn w:val="1"/>
    <w:qFormat/>
    <w:uiPriority w:val="0"/>
    <w:pPr>
      <w:adjustRightInd w:val="0"/>
      <w:snapToGrid/>
      <w:ind w:firstLine="0"/>
      <w:jc w:val="left"/>
    </w:pPr>
    <w:rPr>
      <w:rFonts w:ascii="方正小标宋_GBK" w:eastAsia="方正黑体_GBK"/>
    </w:rPr>
  </w:style>
  <w:style w:type="paragraph" w:customStyle="1" w:styleId="23">
    <w:name w:val="抄送栏"/>
    <w:basedOn w:val="1"/>
    <w:qFormat/>
    <w:uiPriority w:val="0"/>
    <w:pPr>
      <w:adjustRightInd w:val="0"/>
      <w:snapToGrid/>
      <w:ind w:left="953" w:hanging="953"/>
    </w:pPr>
  </w:style>
  <w:style w:type="character" w:customStyle="1" w:styleId="24">
    <w:name w:val="批注框文本 字符"/>
    <w:basedOn w:val="12"/>
    <w:link w:val="6"/>
    <w:qFormat/>
    <w:uiPriority w:val="0"/>
    <w:rPr>
      <w:rFonts w:ascii="方正仿宋_GBK"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Template>
  <Company>Microsoft</Company>
  <Pages>6</Pages>
  <Words>2816</Words>
  <Characters>2903</Characters>
  <Lines>21</Lines>
  <Paragraphs>6</Paragraphs>
  <TotalTime>0</TotalTime>
  <ScaleCrop>false</ScaleCrop>
  <LinksUpToDate>false</LinksUpToDate>
  <CharactersWithSpaces>2986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2024-05-30T01:00:00Z</dcterms:created>
  <dc:creator>翻不完的日历</dc:creator>
  <cp:lastModifiedBy>翻不完的日历</cp:lastModifiedBy>
  <dcterms:modified xsi:type="dcterms:W3CDTF">2024-09-25T06:57:28Z</dcterms:modified>
  <dc:title>苏政办函模板</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BA56027E12BF48399722F87ED9EE5B4E_13</vt:lpwstr>
  </property>
</Properties>
</file>